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Arial" w:cs="Arial" w:eastAsia="Arial" w:hAnsi="Arial"/>
          <w:caps/>
          <w:color w:val="1B6B4A"/>
          <w:sz w:val="18"/>
          <w:szCs w:val="18"/>
        </w:rPr>
        <w:t xml:space="preserve">Block B · User-facing, mandatory</w:t>
      </w:r>
    </w:p>
    <w:p>
      <w:pPr>
        <w:spacing w:after="80"/>
      </w:pPr>
      <w:r>
        <w:rPr>
          <w:rFonts w:ascii="Arial" w:cs="Arial" w:eastAsia="Arial" w:hAnsi="Arial"/>
          <w:b/>
          <w:bCs/>
          <w:color w:val="1A1A2E"/>
          <w:sz w:val="36"/>
          <w:szCs w:val="36"/>
        </w:rPr>
        <w:t xml:space="preserve">Terms of Use</w:t>
      </w:r>
    </w:p>
    <w:p>
      <w:pPr>
        <w:spacing w:after="80"/>
      </w:pPr>
      <w:r>
        <w:rPr>
          <w:rFonts w:ascii="Arial" w:cs="Arial" w:eastAsia="Arial" w:hAnsi="Arial"/>
          <w:i/>
          <w:iCs/>
          <w:color w:val="666666"/>
          <w:sz w:val="20"/>
          <w:szCs w:val="20"/>
        </w:rPr>
        <w:t xml:space="preserve">Cashletics mobile application — English version</w:t>
      </w:r>
    </w:p>
    <w:p>
      <w:pPr>
        <w:spacing w:after="240"/>
      </w:pPr>
      <w:r>
        <w:rPr>
          <w:rFonts w:ascii="Courier New" w:cs="Courier New" w:eastAsia="Courier New" w:hAnsi="Courier New"/>
          <w:color w:val="666666"/>
          <w:sz w:val="20"/>
          <w:szCs w:val="20"/>
        </w:rPr>
        <w:t xml:space="preserve">ASZF-001-EN</w:t>
      </w:r>
    </w:p>
    <w:tbl>
      <w:tblPr>
        <w:tblW w:type="dxa" w:w="9638"/>
        <w:tblBorders>
          <w:top w:val="single" w:color="1B6B4A" w:sz="6"/>
          <w:left w:val="single" w:color="1B6B4A" w:sz="6"/>
          <w:bottom w:val="single" w:color="1B6B4A" w:sz="6"/>
          <w:right w:val="single" w:color="1B6B4A" w:sz="6"/>
          <w:insideH w:val="single" w:color="auto" w:sz="4"/>
          <w:insideV w:val="single" w:color="auto" w:sz="4"/>
        </w:tblBorders>
      </w:tblPr>
      <w:tblGrid>
        <w:gridCol w:w="9638"/>
      </w:tblGrid>
      <w:tr>
        <w:tc>
          <w:tcPr>
            <w:tcW w:type="dxa" w:w="9638"/>
            <w:tcBorders>
              <w:top w:val="single" w:color="1B6B4A" w:sz="6"/>
              <w:left w:val="single" w:color="1B6B4A" w:sz="6"/>
              <w:bottom w:val="single" w:color="1B6B4A" w:sz="6"/>
              <w:right w:val="single" w:color="1B6B4A" w:sz="6"/>
            </w:tcBorders>
            <w:shd w:fill="E8F5F0" w:val="clear"/>
            <w:tcMar>
              <w:top w:type="dxa" w:w="120"/>
              <w:left w:type="dxa" w:w="200"/>
              <w:bottom w:type="dxa" w:w="120"/>
              <w:right w:type="dxa" w:w="200"/>
            </w:tcMar>
          </w:tcPr>
          <w:p>
            <w:pPr>
              <w:spacing w:after="80"/>
            </w:pPr>
            <w:r>
              <w:rPr>
                <w:rFonts w:ascii="Arial" w:cs="Arial" w:eastAsia="Arial" w:hAnsi="Arial"/>
                <w:b/>
                <w:bCs/>
                <w:color w:val="1B6B4A"/>
                <w:sz w:val="22"/>
                <w:szCs w:val="22"/>
              </w:rPr>
              <w:t xml:space="preserve">⚠️  GOVERNING LANGUAGE NOTICE</w:t>
            </w:r>
          </w:p>
          <w:p>
            <w:pPr>
              <w:jc w:val="both"/>
            </w:pPr>
            <w:r>
              <w:rPr>
                <w:rFonts w:ascii="Arial" w:cs="Arial" w:eastAsia="Arial" w:hAnsi="Arial"/>
                <w:color w:val="1A1A2E"/>
                <w:sz w:val="20"/>
                <w:szCs w:val="20"/>
              </w:rPr>
              <w:t xml:space="preserve">This document is an English translation of the Hungarian Terms of Use (ASZF-001). In case of any discrepancy between the Hungarian and English versions, the Hungarian version shall prevail.</w:t>
            </w:r>
          </w:p>
          <w:p>
            <w:pPr>
              <w:spacing w:before="60"/>
            </w:pPr>
            <w:r>
              <w:rPr>
                <w:rFonts w:ascii="Arial" w:cs="Arial" w:eastAsia="Arial" w:hAnsi="Arial"/>
                <w:i/>
                <w:iCs/>
                <w:color w:val="1B6B4A"/>
                <w:sz w:val="20"/>
                <w:szCs w:val="20"/>
              </w:rPr>
              <w:t xml:space="preserve">Hungarian version: https://cashleticsapp.com/legal.php?slug=aszf&amp;lang=hu</w:t>
            </w:r>
          </w:p>
        </w:tc>
      </w:tr>
    </w:tbl>
    <w:p>
      <w:pPr>
        <w:spacing w:after="200"/>
      </w:pPr>
    </w:p>
    <w:tbl>
      <w:tblPr>
        <w:tblW w:type="dxa" w:w="9638"/>
        <w:tblBorders>
          <w:top w:val="single" w:color="C8E6DA" w:sz="4"/>
          <w:left w:val="single" w:color="C8E6DA" w:sz="4"/>
          <w:bottom w:val="single" w:color="C8E6DA" w:sz="4"/>
          <w:right w:val="single" w:color="C8E6DA" w:sz="4"/>
          <w:insideH w:val="single" w:color="auto" w:sz="4"/>
          <w:insideV w:val="single" w:color="auto" w:sz="4"/>
        </w:tblBorders>
      </w:tblPr>
      <w:tblGrid>
        <w:gridCol w:w="2800"/>
        <w:gridCol w:w="6838"/>
      </w:tblGrid>
      <w:tr>
        <w:tc>
          <w:tcPr>
            <w:tcW w:type="dxa" w:w="28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Operator / Service Provider</w:t>
            </w:r>
          </w:p>
        </w:tc>
        <w:tc>
          <w:tcPr>
            <w:tcW w:type="dxa" w:w="68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Mózer Ferenc (sole trader / egyéni vállalkozó)
6044 Kecskemét, Hetény-Belsőnyír 268/2., Hungary</w:t>
            </w:r>
          </w:p>
        </w:tc>
      </w:tr>
      <w:tr>
        <w:tc>
          <w:tcPr>
            <w:tcW w:type="dxa" w:w="28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Effective date</w:t>
            </w:r>
          </w:p>
        </w:tc>
        <w:tc>
          <w:tcPr>
            <w:tcW w:type="dxa" w:w="68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t>12 October 2026</w:t>
            </w:r>
          </w:p>
        </w:tc>
      </w:tr>
      <w:tr>
        <w:tc>
          <w:tcPr>
            <w:tcW w:type="dxa" w:w="28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Prepared by</w:t>
            </w:r>
          </w:p>
        </w:tc>
        <w:tc>
          <w:tcPr>
            <w:tcW w:type="dxa" w:w="68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Dr. Crespo Zsuzsanna | zsuzsanna@crespo.hu</w:t>
            </w:r>
          </w:p>
        </w:tc>
      </w:tr>
      <w:tr>
        <w:tc>
          <w:tcPr>
            <w:tcW w:type="dxa" w:w="28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Version</w:t>
            </w:r>
          </w:p>
        </w:tc>
        <w:tc>
          <w:tcPr>
            <w:tcW w:type="dxa" w:w="68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t xml:space="preserve">v1.10.1</w:t>
            </w:r>
          </w:p>
        </w:tc>
      </w:tr>
      <w:tr>
        <w:tc>
          <w:tcPr>
            <w:tcW w:type="dxa" w:w="28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Governing language</w:t>
            </w:r>
          </w:p>
        </w:tc>
        <w:tc>
          <w:tcPr>
            <w:tcW w:type="dxa" w:w="68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Hungarian (ASZF-001) — this EN version is a translation</w:t>
            </w:r>
          </w:p>
        </w:tc>
      </w:tr>
    </w:tbl>
    <w:p>
      <w:pPr>
        <w:spacing w:after="0"/>
      </w:pPr>
      <w:r>
        <w:br w:type="page"/>
      </w:r>
    </w:p>
    <w:p>
      <w:pPr>
        <w:shd w:fill="1B6B4A" w:val="clear"/>
        <w:spacing w:after="120" w:before="280"/>
        <w:ind w:left="120" w:right="120"/>
      </w:pPr>
      <w:r>
        <w:rPr>
          <w:rFonts w:ascii="Arial" w:cs="Arial" w:eastAsia="Arial" w:hAnsi="Arial"/>
          <w:b/>
          <w:bCs/>
          <w:color w:val="FFFFFF"/>
          <w:sz w:val="24"/>
          <w:szCs w:val="24"/>
        </w:rPr>
        <w:t xml:space="preserve">Introduction and Acceptance of Terms</w:t>
      </w:r>
    </w:p>
    <w:p>
      <w:pPr>
        <w:spacing w:after="60" w:before="0"/>
      </w:pPr>
      <w:r>
        <w:t xml:space="preserve"/>
      </w:r>
    </w:p>
    <w:p>
      <w:pPr>
        <w:spacing w:after="80" w:before="60"/>
        <w:jc w:val="both"/>
      </w:pPr>
      <w:r>
        <w:rPr>
          <w:rFonts w:ascii="Arial" w:cs="Arial" w:eastAsia="Arial" w:hAnsi="Arial"/>
          <w:color w:val="1A1A2E"/>
          <w:sz w:val="22"/>
          <w:szCs w:val="22"/>
        </w:rPr>
        <w:t xml:space="preserve">These Terms of Use ("Terms") govern the use of the Cashletics mobile application and related services. By downloading, registering, or using the application, the user accepts these Terms, the Privacy Policy (AT-001-EN), and all other applicable policies of the application.</w:t>
      </w:r>
    </w:p>
    <w:p>
      <w:pPr>
        <w:spacing w:after="80" w:before="60"/>
        <w:jc w:val="both"/>
      </w:pPr>
      <w:r>
        <w:rPr>
          <w:rFonts w:ascii="Arial" w:cs="Arial" w:eastAsia="Arial" w:hAnsi="Arial"/>
          <w:b/>
          <w:bCs/>
          <w:color w:val="1A1A2E"/>
          <w:sz w:val="22"/>
          <w:szCs w:val="22"/>
        </w:rPr>
        <w:t xml:space="preserve">Cashletics is an application supporting personal financial tracking, savings goal management, daily activity monitoring, and gamified motivation.</w:t>
      </w:r>
    </w:p>
    <w:p>
      <w:pPr>
        <w:spacing w:after="80" w:before="60"/>
        <w:jc w:val="both"/>
      </w:pPr>
      <w:r>
        <w:rPr>
          <w:rFonts w:ascii="Arial" w:cs="Arial" w:eastAsia="Arial" w:hAnsi="Arial"/>
          <w:color w:val="1A1A2E"/>
          <w:sz w:val="22"/>
          <w:szCs w:val="22"/>
        </w:rPr>
        <w:t xml:space="preserve">Cashletics is NOT a bank, financial institution, investment advisor, accountant, or tax advisor. The user is solely responsible for any decisions made based on data or reports generated by the application.</w:t>
      </w:r>
    </w:p>
    <w:p>
      <w:pPr>
        <w:spacing w:after="60" w:before="0"/>
      </w:pPr>
      <w:r>
        <w:t xml:space="preserve"/>
      </w:r>
    </w:p>
    <w:p>
      <w:pPr>
        <w:shd w:fill="1B6B4A" w:val="clear"/>
        <w:spacing w:after="120" w:before="280"/>
        <w:ind w:left="120" w:right="120"/>
      </w:pPr>
      <w:r>
        <w:rPr>
          <w:rFonts w:ascii="Arial" w:cs="Arial" w:eastAsia="Arial" w:hAnsi="Arial"/>
          <w:b/>
          <w:bCs/>
          <w:color w:val="FFFFFF"/>
          <w:sz w:val="24"/>
          <w:szCs w:val="24"/>
        </w:rPr>
        <w:t xml:space="preserve">1. Service Provider Details</w:t>
      </w:r>
    </w:p>
    <w:p>
      <w:pPr>
        <w:spacing w:after="60" w:before="0"/>
      </w:pPr>
      <w:r>
        <w:t xml:space="preserve"/>
      </w:r>
    </w:p>
    <w:tbl>
      <w:tblPr>
        <w:tblW w:type="dxa" w:w="9638"/>
        <w:tblBorders>
          <w:top w:val="single" w:color="C8E6DA" w:sz="4"/>
          <w:left w:val="single" w:color="C8E6DA" w:sz="4"/>
          <w:bottom w:val="single" w:color="C8E6DA" w:sz="4"/>
          <w:right w:val="single" w:color="C8E6DA" w:sz="4"/>
          <w:insideH w:val="single" w:color="auto" w:sz="4"/>
          <w:insideV w:val="single" w:color="auto" w:sz="4"/>
        </w:tblBorders>
      </w:tblPr>
      <w:tblGrid>
        <w:gridCol w:w="3200"/>
        <w:gridCol w:w="6438"/>
      </w:tblGrid>
      <w:tr>
        <w:tc>
          <w:tcPr>
            <w:tcW w:type="dxa" w:w="32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Service Provider</w:t>
            </w:r>
          </w:p>
        </w:tc>
        <w:tc>
          <w:tcPr>
            <w:tcW w:type="dxa" w:w="64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Mózer Ferenc</w:t>
            </w:r>
          </w:p>
        </w:tc>
      </w:tr>
      <w:tr>
        <w:tc>
          <w:tcPr>
            <w:tcW w:type="dxa" w:w="32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Business form</w:t>
            </w:r>
          </w:p>
        </w:tc>
        <w:tc>
          <w:tcPr>
            <w:tcW w:type="dxa" w:w="64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Sole trader (egyéni vállalkozó / EV), Hungary</w:t>
            </w:r>
          </w:p>
        </w:tc>
      </w:tr>
      <w:tr>
        <w:tc>
          <w:tcPr>
            <w:tcW w:type="dxa" w:w="32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Registered address</w:t>
            </w:r>
          </w:p>
        </w:tc>
        <w:tc>
          <w:tcPr>
            <w:tcW w:type="dxa" w:w="64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6044 Kecskemét, Hetény-Belsőnyír 268/2., Hungary</w:t>
            </w:r>
          </w:p>
        </w:tc>
      </w:tr>
      <w:tr>
        <w:tc>
          <w:tcPr>
            <w:tcW w:type="dxa" w:w="32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Registration number</w:t>
            </w:r>
          </w:p>
        </w:tc>
        <w:tc>
          <w:tcPr>
            <w:tcW w:type="dxa" w:w="64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58145155</w:t>
            </w:r>
          </w:p>
        </w:tc>
      </w:tr>
      <w:tr>
        <w:tc>
          <w:tcPr>
            <w:tcW w:type="dxa" w:w="32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Tax number</w:t>
            </w:r>
          </w:p>
        </w:tc>
        <w:tc>
          <w:tcPr>
            <w:tcW w:type="dxa" w:w="64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41905517-1-23</w:t>
            </w:r>
            <w:r>
              <w:rPr/>
              <w:t xml:space="preserve"> | EU VAT number: HU41905517</w:t>
            </w:r>
          </w:p>
        </w:tc>
      </w:tr>
      <w:tr>
        <w:tc>
          <w:tcPr>
            <w:tcW w:type="dxa" w:w="32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Support email</w:t>
            </w:r>
          </w:p>
        </w:tc>
        <w:tc>
          <w:tcPr>
            <w:tcW w:type="dxa" w:w="64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support@cashleticsapp.com</w:t>
            </w:r>
          </w:p>
        </w:tc>
      </w:tr>
      <w:tr>
        <w:tc>
          <w:tcPr>
            <w:tcW w:type="dxa" w:w="32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Privacy email</w:t>
            </w:r>
          </w:p>
        </w:tc>
        <w:tc>
          <w:tcPr>
            <w:tcW w:type="dxa" w:w="64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privacy@cashleticsapp.com</w:t>
            </w:r>
          </w:p>
        </w:tc>
      </w:tr>
      <w:tr>
        <w:tc>
          <w:tcPr>
            <w:tcW w:type="dxa" w:w="32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Legal email</w:t>
            </w:r>
          </w:p>
        </w:tc>
        <w:tc>
          <w:tcPr>
            <w:tcW w:type="dxa" w:w="64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legal@cashleticsapp.com</w:t>
            </w:r>
          </w:p>
        </w:tc>
      </w:tr>
      <w:tr>
        <w:tc>
          <w:tcPr>
            <w:tcW w:type="dxa" w:w="32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Support phone</w:t>
            </w:r>
          </w:p>
        </w:tc>
        <w:tc>
          <w:tcPr>
            <w:tcW w:type="dxa" w:w="64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+36 30 728 4422</w:t>
            </w:r>
          </w:p>
        </w:tc>
      </w:tr>
      <w:tr>
        <w:tc>
          <w:tcPr>
            <w:tcW w:type="dxa" w:w="32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Website</w:t>
            </w:r>
          </w:p>
        </w:tc>
        <w:tc>
          <w:tcPr>
            <w:tcW w:type="dxa" w:w="64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https://cashleticsapp.com/legal.php</w:t>
            </w:r>
          </w:p>
        </w:tc>
      </w:tr>
      <w:tr>
        <w:tc>
          <w:tcPr>
            <w:tcW w:type="dxa" w:w="32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Response time</w:t>
            </w:r>
          </w:p>
        </w:tc>
        <w:tc>
          <w:tcPr>
            <w:tcW w:type="dxa" w:w="64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Within 30 days</w:t>
            </w:r>
          </w:p>
        </w:tc>
      </w:tr>
    </w:tbl>
    <w:p>
      <w:pPr>
        <w:spacing w:after="60" w:before="0"/>
      </w:pPr>
      <w:r>
        <w:t xml:space="preserve"/>
      </w:r>
    </w:p>
    <w:p>
      <w:pPr>
        <w:shd w:fill="1B6B4A" w:val="clear"/>
        <w:spacing w:after="120" w:before="280"/>
        <w:ind w:left="120" w:right="120"/>
      </w:pPr>
      <w:r>
        <w:rPr>
          <w:rFonts w:ascii="Arial" w:cs="Arial" w:eastAsia="Arial" w:hAnsi="Arial"/>
          <w:b/>
          <w:bCs/>
          <w:color w:val="FFFFFF"/>
          <w:sz w:val="24"/>
          <w:szCs w:val="24"/>
        </w:rPr>
        <w:t xml:space="preserve">2. Definitions</w:t>
      </w:r>
    </w:p>
    <w:p>
      <w:pPr>
        <w:spacing w:after="60" w:before="0"/>
      </w:pPr>
      <w:r>
        <w:t xml:space="preserve"/>
      </w:r>
    </w:p>
    <w:tbl>
      <w:tblPr>
        <w:tblW w:type="dxa" w:w="9638"/>
        <w:tblBorders>
          <w:top w:val="single" w:color="C8E6DA" w:sz="4"/>
          <w:left w:val="single" w:color="C8E6DA" w:sz="4"/>
          <w:bottom w:val="single" w:color="C8E6DA" w:sz="4"/>
          <w:right w:val="single" w:color="C8E6DA" w:sz="4"/>
          <w:insideH w:val="single" w:color="auto" w:sz="4"/>
          <w:insideV w:val="single" w:color="auto" w:sz="4"/>
        </w:tblBorders>
      </w:tblPr>
      <w:tblGrid>
        <w:gridCol w:w="2600"/>
        <w:gridCol w:w="7038"/>
      </w:tblGrid>
      <w:tr>
        <w:trPr>
          <w:tblHeader/>
        </w:trPr>
        <w:tc>
          <w:tcPr>
            <w:tcW w:type="dxa" w:w="26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Term</w:t>
            </w:r>
          </w:p>
        </w:tc>
        <w:tc>
          <w:tcPr>
            <w:tcW w:type="dxa" w:w="7038"/>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Definition</w:t>
            </w:r>
          </w:p>
        </w:tc>
      </w:tr>
      <w:tr>
        <w:tc>
          <w:tcPr>
            <w:tcW w:type="dxa" w:w="26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Application</w:t>
            </w:r>
          </w:p>
        </w:tc>
        <w:tc>
          <w:tcPr>
            <w:tcW w:type="dxa" w:w="70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The Cashletics mobile application, its updates, related web pages (cashleticsapp.com), and supporting services.</w:t>
            </w:r>
          </w:p>
        </w:tc>
      </w:tr>
      <w:tr>
        <w:tc>
          <w:tcPr>
            <w:tcW w:type="dxa" w:w="26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User</w:t>
            </w:r>
          </w:p>
        </w:tc>
        <w:tc>
          <w:tcPr>
            <w:tcW w:type="dxa" w:w="70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Any natural person who installs, accesses, or uses the application.</w:t>
            </w:r>
          </w:p>
        </w:tc>
      </w:tr>
      <w:tr>
        <w:tc>
          <w:tcPr>
            <w:tcW w:type="dxa" w:w="26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Account</w:t>
            </w:r>
          </w:p>
        </w:tc>
        <w:tc>
          <w:tcPr>
            <w:tcW w:type="dxa" w:w="70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The unique user profile within the application.</w:t>
            </w:r>
          </w:p>
        </w:tc>
      </w:tr>
      <w:tr>
        <w:tc>
          <w:tcPr>
            <w:tcW w:type="dxa" w:w="26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Free version</w:t>
            </w:r>
          </w:p>
        </w:tc>
        <w:tc>
          <w:tcPr>
            <w:tcW w:type="dxa" w:w="70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The free basic features of the application, displayed with advertisements.</w:t>
            </w:r>
          </w:p>
        </w:tc>
      </w:tr>
      <w:tr>
        <w:tc>
          <w:tcPr>
            <w:tcW w:type="dxa" w:w="26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Pro subscription</w:t>
            </w:r>
          </w:p>
        </w:tc>
        <w:tc>
          <w:tcPr>
            <w:tcW w:type="dxa" w:w="70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A recurring paid premium tier — ad-free, with extended features.</w:t>
            </w:r>
          </w:p>
        </w:tc>
      </w:tr>
      <w:tr>
        <w:tc>
          <w:tcPr>
            <w:tcW w:type="dxa" w:w="26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XP (Experience Point)</w:t>
            </w:r>
          </w:p>
        </w:tc>
        <w:tc>
          <w:tcPr>
            <w:tcW w:type="dxa" w:w="70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An internal application point measuring user progress.</w:t>
            </w:r>
          </w:p>
        </w:tc>
      </w:tr>
      <w:tr>
        <w:tc>
          <w:tcPr>
            <w:tcW w:type="dxa" w:w="26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CP (Cashletics Point)</w:t>
            </w:r>
          </w:p>
        </w:tc>
        <w:tc>
          <w:tcPr>
            <w:tcW w:type="dxa" w:w="70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
              <w:rPr/>
              <w:t>An internal application point used for gamification. CP is not money and has no cash value. The system separates free earned CP and CP purchased through Google Play; entry tickets can be redeemed only from free earned CP.</w:t>
            </w:r>
          </w:p>
        </w:tc>
      </w:tr>
      <w:tr>
        <w:tc>
          <w:tcPr>
            <w:tcW w:type="dxa" w:w="26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Platform Provider</w:t>
            </w:r>
          </w:p>
        </w:tc>
        <w:tc>
          <w:tcPr>
            <w:tcW w:type="dxa" w:w="70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Google Play Store (Android); Apple App Store (iOS — planned).</w:t>
            </w:r>
          </w:p>
        </w:tc>
      </w:tr>
    </w:tbl>
    <w:p>
      <w:pPr>
        <w:spacing w:after="60" w:before="0"/>
      </w:pPr>
      <w:r>
        <w:t xml:space="preserve"/>
      </w:r>
    </w:p>
    <w:p>
      <w:pPr>
        <w:shd w:fill="1B6B4A" w:val="clear"/>
        <w:spacing w:after="120" w:before="280"/>
        <w:ind w:left="120" w:right="120"/>
      </w:pPr>
      <w:r>
        <w:rPr>
          <w:rFonts w:ascii="Arial" w:cs="Arial" w:eastAsia="Arial" w:hAnsi="Arial"/>
          <w:b/>
          <w:bCs/>
          <w:color w:val="FFFFFF"/>
          <w:sz w:val="24"/>
          <w:szCs w:val="24"/>
        </w:rPr>
        <w:t xml:space="preserve">3. Nature and Scope of the Service</w:t>
      </w:r>
    </w:p>
    <w:p>
      <w:pPr>
        <w:spacing w:after="60" w:before="0"/>
      </w:pPr>
      <w:r>
        <w:t xml:space="preserve"/>
      </w:r>
    </w:p>
    <w:p>
      <w:pPr>
        <w:spacing w:after="80" w:before="60"/>
        <w:jc w:val="both"/>
      </w:pPr>
      <w:r>
        <w:rPr>
          <w:rFonts w:ascii="Arial" w:cs="Arial" w:eastAsia="Arial" w:hAnsi="Arial"/>
          <w:color w:val="1A1A2E"/>
          <w:sz w:val="22"/>
          <w:szCs w:val="22"/>
        </w:rPr>
        <w:t xml:space="preserve">Cashletics helps users track income and expenses, manage savings goals, monitor daily activity, and complete motivational challenges. The application expressly does NOT:</w:t>
      </w:r>
    </w:p>
    <w:p>
      <w:pPr>
        <w:pStyle w:val="ListParagraph"/>
        <w:numPr>
          <w:ilvl w:val="0"/>
          <w:numId w:val="2"/>
        </w:numPr>
        <w:spacing w:after="40" w:before="40"/>
      </w:pPr>
      <w:r>
        <w:rPr>
          <w:rFonts w:ascii="Arial" w:cs="Arial" w:eastAsia="Arial" w:hAnsi="Arial"/>
          <w:color w:val="1A1A2E"/>
          <w:sz w:val="22"/>
          <w:szCs w:val="22"/>
        </w:rPr>
        <w:t xml:space="preserve">access the user's bank account directly</w:t>
      </w:r>
    </w:p>
    <w:p>
      <w:pPr>
        <w:pStyle w:val="ListParagraph"/>
        <w:numPr>
          <w:ilvl w:val="0"/>
          <w:numId w:val="2"/>
        </w:numPr>
        <w:spacing w:after="40" w:before="40"/>
      </w:pPr>
      <w:r>
        <w:rPr>
          <w:rFonts w:ascii="Arial" w:cs="Arial" w:eastAsia="Arial" w:hAnsi="Arial"/>
          <w:color w:val="1A1A2E"/>
          <w:sz w:val="22"/>
          <w:szCs w:val="22"/>
        </w:rPr>
        <w:t xml:space="preserve">handle real money or initiate bank transactions</w:t>
      </w:r>
    </w:p>
    <w:p>
      <w:pPr>
        <w:pStyle w:val="ListParagraph"/>
        <w:numPr>
          <w:ilvl w:val="0"/>
          <w:numId w:val="2"/>
        </w:numPr>
        <w:spacing w:after="40" w:before="40"/>
      </w:pPr>
      <w:r>
        <w:rPr>
          <w:rFonts w:ascii="Arial" w:cs="Arial" w:eastAsia="Arial" w:hAnsi="Arial"/>
          <w:color w:val="1A1A2E"/>
          <w:sz w:val="22"/>
          <w:szCs w:val="22"/>
        </w:rPr>
        <w:t xml:space="preserve">provide financial, investment, tax, or credit advice</w:t>
      </w:r>
    </w:p>
    <w:p>
      <w:pPr>
        <w:pStyle w:val="ListParagraph"/>
        <w:numPr>
          <w:ilvl w:val="0"/>
          <w:numId w:val="2"/>
        </w:numPr>
        <w:spacing w:after="40" w:before="40"/>
      </w:pPr>
      <w:r>
        <w:rPr>
          <w:rFonts w:ascii="Arial" w:cs="Arial" w:eastAsia="Arial" w:hAnsi="Arial"/>
          <w:color w:val="1A1A2E"/>
          <w:sz w:val="22"/>
          <w:szCs w:val="22"/>
        </w:rPr>
        <w:t xml:space="preserve">act as an authentication tool for banking operations</w:t>
      </w:r>
    </w:p>
    <w:p>
      <w:pPr>
        <w:spacing w:after="60" w:before="0"/>
      </w:pPr>
      <w:r>
        <w:t xml:space="preserve"/>
      </w:r>
    </w:p>
    <w:p>
      <w:pPr>
        <w:spacing w:after="80" w:before="60"/>
        <w:jc w:val="both"/>
      </w:pPr>
      <w:r>
        <w:rPr>
          <w:rFonts w:ascii="Arial" w:cs="Arial" w:eastAsia="Arial" w:hAnsi="Arial"/>
          <w:color w:val="1A1A2E"/>
          <w:sz w:val="22"/>
          <w:szCs w:val="22"/>
        </w:rPr>
        <w:t xml:space="preserve">Available features include: financial records, savings goals, step counting, gamification (challenges, points, leaderboard), notifications, statistics, and promotions. Individual features may vary by region, platform, or development stage.</w:t>
      </w:r>
    </w:p>
    <w:p>
      <w:pPr>
        <w:spacing w:after="60" w:before="0"/>
      </w:pPr>
      <w:r>
        <w:t xml:space="preserve"/>
      </w:r>
    </w:p>
    <w:p>
      <w:pPr>
        <w:shd w:fill="1B6B4A" w:val="clear"/>
        <w:spacing w:after="120" w:before="280"/>
        <w:ind w:left="120" w:right="120"/>
      </w:pPr>
      <w:r>
        <w:rPr>
          <w:rFonts w:ascii="Arial" w:cs="Arial" w:eastAsia="Arial" w:hAnsi="Arial"/>
          <w:b/>
          <w:bCs/>
          <w:color w:val="FFFFFF"/>
          <w:sz w:val="24"/>
          <w:szCs w:val="24"/>
        </w:rPr>
        <w:t xml:space="preserve">4. Registration, Account Use, and Eligibility</w:t>
      </w:r>
    </w:p>
    <w:p>
      <w:pPr>
        <w:spacing w:after="60" w:before="0"/>
      </w:pPr>
      <w:r>
        <w:t xml:space="preserve"/>
      </w:r>
    </w:p>
    <w:p>
      <w:pPr>
        <w:spacing w:after="80" w:before="60"/>
        <w:jc w:val="both"/>
      </w:pPr>
      <w:r>
        <w:rPr>
          <w:rFonts w:ascii="Arial" w:cs="Arial" w:eastAsia="Arial" w:hAnsi="Arial"/>
          <w:color w:val="1A1A2E"/>
          <w:sz w:val="22"/>
          <w:szCs w:val="22"/>
        </w:rPr>
        <w:t xml:space="preserve">An account is required to use the service. Registration is available via email and password, or a Google account. By registering, the user accepts these Terms and the Privacy Policy.</w:t>
      </w:r>
    </w:p>
    <w:p>
      <w:pPr>
        <w:spacing w:after="60" w:before="0"/>
      </w:pPr>
      <w:r>
        <w:t xml:space="preserve"/>
      </w:r>
    </w:p>
    <w:p>
      <w:pPr>
        <w:spacing w:after="80" w:before="220"/>
      </w:pPr>
      <w:r>
        <w:rPr>
          <w:rFonts w:ascii="Arial" w:cs="Arial" w:eastAsia="Arial" w:hAnsi="Arial"/>
          <w:b/>
          <w:bCs/>
          <w:color w:val="1B6B4A"/>
          <w:sz w:val="22"/>
          <w:szCs w:val="22"/>
        </w:rPr>
        <w:t xml:space="preserve">Account rules:</w:t>
      </w:r>
    </w:p>
    <w:p>
      <w:pPr>
        <w:pStyle w:val="ListParagraph"/>
        <w:numPr>
          <w:ilvl w:val="0"/>
          <w:numId w:val="2"/>
        </w:numPr>
        <w:spacing w:after="40" w:before="40"/>
      </w:pPr>
      <w:r>
        <w:rPr>
          <w:rFonts w:ascii="Arial" w:cs="Arial" w:eastAsia="Arial" w:hAnsi="Arial"/>
          <w:color w:val="1A1A2E"/>
          <w:sz w:val="22"/>
          <w:szCs w:val="22"/>
        </w:rPr>
        <w:t xml:space="preserve">The user is responsible for the security of their account and the confidentiality of their password.</w:t>
      </w:r>
    </w:p>
    <w:p>
      <w:pPr>
        <w:pStyle w:val="ListParagraph"/>
        <w:numPr>
          <w:ilvl w:val="0"/>
          <w:numId w:val="2"/>
        </w:numPr>
        <w:spacing w:after="40" w:before="40"/>
      </w:pPr>
      <w:r>
        <w:rPr>
          <w:rFonts w:ascii="Arial" w:cs="Arial" w:eastAsia="Arial" w:hAnsi="Arial"/>
          <w:color w:val="1A1A2E"/>
          <w:sz w:val="22"/>
          <w:szCs w:val="22"/>
        </w:rPr>
        <w:t xml:space="preserve">Accounts may not be transferred, sold, or lent to others.</w:t>
      </w:r>
    </w:p>
    <w:p>
      <w:pPr>
        <w:pStyle w:val="ListParagraph"/>
        <w:numPr>
          <w:ilvl w:val="0"/>
          <w:numId w:val="2"/>
        </w:numPr>
        <w:spacing w:after="40" w:before="40"/>
      </w:pPr>
      <w:r>
        <w:rPr>
          <w:rFonts w:ascii="Arial" w:cs="Arial" w:eastAsia="Arial" w:hAnsi="Arial"/>
          <w:color w:val="1A1A2E"/>
          <w:sz w:val="22"/>
          <w:szCs w:val="22"/>
        </w:rPr>
        <w:t xml:space="preserve">One account per user.</w:t>
      </w:r>
    </w:p>
    <w:p>
      <w:pPr>
        <w:pStyle w:val="ListParagraph"/>
        <w:numPr>
          <w:ilvl w:val="0"/>
          <w:numId w:val="2"/>
        </w:numPr>
        <w:spacing w:after="40" w:before="40"/>
      </w:pPr>
      <w:r>
        <w:rPr>
          <w:rFonts w:ascii="Arial" w:cs="Arial" w:eastAsia="Arial" w:hAnsi="Arial"/>
          <w:color w:val="1A1A2E"/>
          <w:sz w:val="22"/>
          <w:szCs w:val="22"/>
        </w:rPr>
        <w:t xml:space="preserve">The Service Provider may suspend or delete accounts created with false information or used abusively.</w:t>
      </w:r>
    </w:p>
    <w:p>
      <w:pPr>
        <w:spacing w:after="60" w:before="0"/>
      </w:pPr>
      <w:r>
        <w:t xml:space="preserve"/>
      </w:r>
    </w:p>
    <w:p>
      <w:pPr>
        <w:shd w:fill="1B6B4A" w:val="clear"/>
        <w:spacing w:after="120" w:before="280"/>
        <w:ind w:left="120" w:right="120"/>
      </w:pPr>
      <w:r>
        <w:rPr>
          <w:rFonts w:ascii="Arial" w:cs="Arial" w:eastAsia="Arial" w:hAnsi="Arial"/>
          <w:b/>
          <w:bCs/>
          <w:color w:val="FFFFFF"/>
          <w:sz w:val="24"/>
          <w:szCs w:val="24"/>
        </w:rPr>
        <w:t xml:space="preserve">5. Free Version and Pro Subscription</w:t>
      </w:r>
    </w:p>
    <w:p>
      <w:pPr>
        <w:spacing w:after="60" w:before="0"/>
      </w:pPr>
      <w:r>
        <w:t xml:space="preserve"/>
      </w:r>
    </w:p>
    <w:tbl>
      <w:tblPr>
        <w:tblW w:type="dxa" w:w="9638"/>
        <w:tblBorders>
          <w:top w:val="single" w:color="C8E6DA" w:sz="4"/>
          <w:left w:val="single" w:color="C8E6DA" w:sz="4"/>
          <w:bottom w:val="single" w:color="C8E6DA" w:sz="4"/>
          <w:right w:val="single" w:color="C8E6DA" w:sz="4"/>
          <w:insideH w:val="single" w:color="auto" w:sz="4"/>
          <w:insideV w:val="single" w:color="auto" w:sz="4"/>
        </w:tblBorders>
      </w:tblPr>
      <w:tblGrid>
        <w:gridCol w:w="3638"/>
        <w:gridCol w:w="3000"/>
        <w:gridCol w:w="3000"/>
      </w:tblGrid>
      <w:tr>
        <w:trPr>
          <w:tblHeader/>
        </w:trPr>
        <w:tc>
          <w:tcPr>
            <w:tcW w:type="dxa" w:w="3638"/>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Feature</w:t>
            </w:r>
          </w:p>
        </w:tc>
        <w:tc>
          <w:tcPr>
            <w:tcW w:type="dxa" w:w="30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Free version</w:t>
            </w:r>
          </w:p>
        </w:tc>
        <w:tc>
          <w:tcPr>
            <w:tcW w:type="dxa" w:w="30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Pro version</w:t>
            </w:r>
          </w:p>
        </w:tc>
      </w:tr>
      <w:tr>
        <w:tc>
          <w:tcPr>
            <w:tcW w:type="dxa" w:w="36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Core features (tracking, goals)</w:t>
            </w:r>
          </w:p>
        </w:tc>
        <w:tc>
          <w:tcPr>
            <w:tcW w:type="dxa" w:w="3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 yes</w:t>
            </w:r>
          </w:p>
        </w:tc>
        <w:tc>
          <w:tcPr>
            <w:tcW w:type="dxa" w:w="3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 yes</w:t>
            </w:r>
          </w:p>
        </w:tc>
      </w:tr>
      <w:tr>
        <w:tc>
          <w:tcPr>
            <w:tcW w:type="dxa" w:w="36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Step counting</w:t>
            </w:r>
          </w:p>
        </w:tc>
        <w:tc>
          <w:tcPr>
            <w:tcW w:type="dxa" w:w="30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 yes</w:t>
            </w:r>
          </w:p>
        </w:tc>
        <w:tc>
          <w:tcPr>
            <w:tcW w:type="dxa" w:w="30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 yes</w:t>
            </w:r>
          </w:p>
        </w:tc>
      </w:tr>
      <w:tr>
        <w:tc>
          <w:tcPr>
            <w:tcW w:type="dxa" w:w="36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Gamification (XP, CP, challenges)</w:t>
            </w:r>
          </w:p>
        </w:tc>
        <w:tc>
          <w:tcPr>
            <w:tcW w:type="dxa" w:w="3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 yes</w:t>
            </w:r>
          </w:p>
        </w:tc>
        <w:tc>
          <w:tcPr>
            <w:tcW w:type="dxa" w:w="3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 yes</w:t>
            </w:r>
          </w:p>
        </w:tc>
      </w:tr>
      <w:tr>
        <w:tc>
          <w:tcPr>
            <w:tcW w:type="dxa" w:w="36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Advertisements (AdMob)</w:t>
            </w:r>
          </w:p>
        </w:tc>
        <w:tc>
          <w:tcPr>
            <w:tcW w:type="dxa" w:w="30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 yes (displayed)</w:t>
            </w:r>
          </w:p>
        </w:tc>
        <w:tc>
          <w:tcPr>
            <w:tcW w:type="dxa" w:w="30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 no (ad-free)</w:t>
            </w:r>
          </w:p>
        </w:tc>
      </w:tr>
      <w:tr>
        <w:tc>
          <w:tcPr>
            <w:tcW w:type="dxa" w:w="36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Detailed analytics, PDF export</w:t>
            </w:r>
          </w:p>
        </w:tc>
        <w:tc>
          <w:tcPr>
            <w:tcW w:type="dxa" w:w="3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 limited</w:t>
            </w:r>
          </w:p>
        </w:tc>
        <w:tc>
          <w:tcPr>
            <w:tcW w:type="dxa" w:w="3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 yes</w:t>
            </w:r>
          </w:p>
        </w:tc>
      </w:tr>
      <w:tr>
        <w:tc>
          <w:tcPr>
            <w:tcW w:type="dxa" w:w="36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Premium avatars</w:t>
            </w:r>
          </w:p>
        </w:tc>
        <w:tc>
          <w:tcPr>
            <w:tcW w:type="dxa" w:w="30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 no</w:t>
            </w:r>
          </w:p>
        </w:tc>
        <w:tc>
          <w:tcPr>
            <w:tcW w:type="dxa" w:w="30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 yes</w:t>
            </w:r>
          </w:p>
        </w:tc>
      </w:tr>
      <w:tr>
        <w:tc>
          <w:tcPr>
            <w:tcW w:type="dxa" w:w="36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Higher reward multiplier</w:t>
            </w:r>
          </w:p>
        </w:tc>
        <w:tc>
          <w:tcPr>
            <w:tcW w:type="dxa" w:w="3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 no</w:t>
            </w:r>
          </w:p>
        </w:tc>
        <w:tc>
          <w:tcPr>
            <w:tcW w:type="dxa" w:w="3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 yes</w:t>
            </w:r>
          </w:p>
        </w:tc>
      </w:tr>
      <w:tr>
        <w:tc>
          <w:tcPr>
            <w:tcW w:type="dxa" w:w="36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Pro badge</w:t>
            </w:r>
          </w:p>
        </w:tc>
        <w:tc>
          <w:tcPr>
            <w:tcW w:type="dxa" w:w="30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 no</w:t>
            </w:r>
          </w:p>
        </w:tc>
        <w:tc>
          <w:tcPr>
            <w:tcW w:type="dxa" w:w="30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 yes</w:t>
            </w:r>
          </w:p>
        </w:tc>
      </w:tr>
    </w:tbl>
    <w:p>
      <w:pPr>
        <w:spacing w:after="60" w:before="0"/>
      </w:pPr>
      <w:r>
        <w:t xml:space="preserve"/>
      </w:r>
    </w:p>
    <w:p>
      <w:pPr>
        <w:spacing w:after="80" w:before="220"/>
      </w:pPr>
      <w:r>
        <w:rPr>
          <w:rFonts w:ascii="Arial" w:cs="Arial" w:eastAsia="Arial" w:hAnsi="Arial"/>
          <w:b/>
          <w:bCs/>
          <w:color w:val="1B6B4A"/>
          <w:sz w:val="22"/>
          <w:szCs w:val="22"/>
        </w:rPr>
        <w:t xml:space="preserve">5.1 Subscription terms</w:t>
      </w:r>
    </w:p>
    <w:p>
      <w:pPr>
        <w:pStyle w:val="ListParagraph"/>
        <w:numPr>
          <w:ilvl w:val="0"/>
          <w:numId w:val="2"/>
        </w:numPr>
        <w:spacing w:after="40" w:before="40"/>
      </w:pPr>
      <w:r>
        <w:rPr>
          <w:rFonts w:ascii="Arial" w:cs="Arial" w:eastAsia="Arial" w:hAnsi="Arial"/>
          <w:color w:val="1A1A2E"/>
          <w:sz w:val="22"/>
          <w:szCs w:val="22"/>
        </w:rPr>
        <w:t xml:space="preserve">Android subscriptions are managed by the Google Play Store.</w:t>
      </w:r>
    </w:p>
    <w:p>
      <w:pPr>
        <w:pStyle w:val="ListParagraph"/>
        <w:numPr>
          <w:ilvl w:val="0"/>
          <w:numId w:val="2"/>
        </w:numPr>
        <w:spacing w:after="40" w:before="40"/>
      </w:pPr>
      <w:r>
        <w:rPr/>
        <w:t>iOS App Store subscription is currently not available. The Terms will be updated before the iOS version is launched.</w:t>
      </w:r>
    </w:p>
    <w:p>
      <w:pPr>
        <w:pStyle w:val="ListParagraph"/>
        <w:numPr>
          <w:ilvl w:val="0"/>
          <w:numId w:val="2"/>
        </w:numPr>
        <w:spacing w:after="40" w:before="40"/>
      </w:pPr>
      <w:r>
        <w:rPr>
          <w:rFonts w:ascii="Arial" w:cs="Arial" w:eastAsia="Arial" w:hAnsi="Arial"/>
          <w:color w:val="1A1A2E"/>
          <w:sz w:val="22"/>
          <w:szCs w:val="22"/>
        </w:rPr>
        <w:t xml:space="preserve">Subscription prices: PRO monthly USD 3.99; PRO yearly USD 29.99; Lifetime (limited to 500 units) USD 99.99. Local prices are set by Google Play Console / App Store.</w:t>
      </w:r>
    </w:p>
    <w:p>
      <w:pPr>
        <w:pStyle w:val="ListParagraph"/>
        <w:numPr>
          <w:ilvl w:val="0"/>
          <w:numId w:val="2"/>
        </w:numPr>
        <w:spacing w:after="40" w:before="40"/>
      </w:pPr>
      <w:r>
        <w:rPr>
          <w:rFonts w:ascii="Arial" w:cs="Arial" w:eastAsia="Arial" w:hAnsi="Arial"/>
          <w:color w:val="1A1A2E"/>
          <w:sz w:val="22"/>
          <w:szCs w:val="22"/>
        </w:rPr>
        <w:t xml:space="preserve">Subscriptions auto-renew unless cancelled before the renewal date.</w:t>
      </w:r>
    </w:p>
    <w:p>
      <w:pPr>
        <w:spacing w:after="60" w:before="0"/>
      </w:pPr>
      <w:r>
        <w:t xml:space="preserve"/>
      </w:r>
    </w:p>
    <w:p>
      <w:pPr>
        <w:spacing w:after="80" w:before="220"/>
      </w:pPr>
      <w:r>
        <w:rPr>
          <w:rFonts w:ascii="Arial" w:cs="Arial" w:eastAsia="Arial" w:hAnsi="Arial"/>
          <w:b/>
          <w:bCs/>
          <w:color w:val="1B6B4A"/>
          <w:sz w:val="22"/>
          <w:szCs w:val="22"/>
        </w:rPr>
        <w:t xml:space="preserve">5.2 Cancellation</w:t>
      </w:r>
    </w:p>
    <w:p>
      <w:pPr>
        <w:spacing w:after="80" w:before="60"/>
        <w:jc w:val="both"/>
      </w:pPr>
      <w:r>
        <w:rPr>
          <w:rFonts w:ascii="Arial" w:cs="Arial" w:eastAsia="Arial" w:hAnsi="Arial"/>
          <w:color w:val="1A1A2E"/>
          <w:sz w:val="22"/>
          <w:szCs w:val="22"/>
        </w:rPr>
        <w:t xml:space="preserve">Cancellation is made exclusively through the Platform Provider's system. The Service Provider does not manage or refund subscription fees.</w:t>
      </w:r>
    </w:p>
    <w:p>
      <w:pPr>
        <w:pStyle w:val="ListParagraph"/>
        <w:numPr>
          <w:ilvl w:val="0"/>
          <w:numId w:val="2"/>
        </w:numPr>
        <w:spacing w:after="40" w:before="40"/>
      </w:pPr>
      <w:r>
        <w:rPr>
          <w:rFonts w:ascii="Arial" w:cs="Arial" w:eastAsia="Arial" w:hAnsi="Arial"/>
          <w:color w:val="1A1A2E"/>
          <w:sz w:val="22"/>
          <w:szCs w:val="22"/>
        </w:rPr>
        <w:t xml:space="preserve">Android: Google Play → Account → Subscriptions → Cashletics → Cancel</w:t>
      </w:r>
    </w:p>
    <w:p>
      <w:pPr>
        <w:pStyle w:val="ListParagraph"/>
        <w:numPr>
          <w:ilvl w:val="0"/>
          <w:numId w:val="2"/>
        </w:numPr>
        <w:spacing w:after="40" w:before="40"/>
      </w:pPr>
      <w:r>
        <w:rPr/>
        <w:t>iOS App Store subscription is currently not available; the iOS cancellation flow will be added before the iOS launch.</w:t>
      </w:r>
    </w:p>
    <w:p>
      <w:pPr>
        <w:spacing w:after="80" w:before="60"/>
        <w:jc w:val="both"/>
      </w:pPr>
      <w:r>
        <w:rPr>
          <w:rFonts w:ascii="Arial" w:cs="Arial" w:eastAsia="Arial" w:hAnsi="Arial"/>
          <w:color w:val="1A1A2E"/>
          <w:sz w:val="22"/>
          <w:szCs w:val="22"/>
        </w:rPr>
        <w:t xml:space="preserve">Cancellation takes effect at the end of the current billing period. Fees already paid are non-refundable. Refund requests are assessed by the Platform Provider.</w:t>
      </w:r>
    </w:p>
    <w:p>
      <w:pPr>
        <w:spacing w:after="60" w:before="0"/>
      </w:pPr>
      <w:r>
        <w:t xml:space="preserve"/>
      </w:r>
    </w:p>
    <w:p>
      <w:pPr>
        <w:spacing w:after="80" w:before="220"/>
      </w:pPr>
      <w:r>
        <w:rPr>
          <w:rFonts w:ascii="Arial" w:cs="Arial" w:eastAsia="Arial" w:hAnsi="Arial"/>
          <w:b/>
          <w:bCs/>
          <w:color w:val="1B6B4A"/>
          <w:sz w:val="22"/>
          <w:szCs w:val="22"/>
        </w:rPr>
        <w:t xml:space="preserve">5.3 Right of Withdrawal and Termination — Consumer Information</w:t>
      </w:r>
    </w:p>
    <w:p>
      <w:pPr>
        <w:spacing w:after="80" w:before="60"/>
        <w:jc w:val="both"/>
      </w:pPr>
      <w:r>
        <w:rPr>
          <w:rFonts w:ascii="Arial" w:cs="Arial" w:eastAsia="Arial" w:hAnsi="Arial"/>
          <w:color w:val="1A1A2E"/>
          <w:sz w:val="22"/>
          <w:szCs w:val="22"/>
        </w:rPr>
        <w:t xml:space="preserve">The paid contract for the Pro subscription is concluded with the Platform Provider (Google Play): the fee is collected by the Platform Provider, which also decides on refunds (Sections 5.1–5.2). The right of withdrawal or termination is therefore exercised, and refunds are handled, through the Platform Provider's system, under its terms and refund policy.</w:t>
      </w:r>
    </w:p>
    <w:p>
      <w:pPr>
        <w:spacing w:after="80" w:before="60"/>
        <w:jc w:val="both"/>
      </w:pPr>
      <w:r>
        <w:rPr>
          <w:rFonts w:ascii="Arial" w:cs="Arial" w:eastAsia="Arial" w:hAnsi="Arial"/>
          <w:color w:val="1A1A2E"/>
          <w:sz w:val="22"/>
          <w:szCs w:val="22"/>
        </w:rPr>
        <w:t xml:space="preserve">Under Section 20 of Government Decree 45/2014 (II. 26.) on the detailed rules of contracts between consumers and businesses, in the case of a distance contract for the supply of services the consumer has the right to withdraw without giving any reason — or, once performance has begun, to terminate — within fourteen days from the date on which the contract was concluded.</w:t>
      </w:r>
    </w:p>
    <w:p>
      <w:pPr>
        <w:spacing w:after="80" w:before="60"/>
        <w:jc w:val="both"/>
      </w:pPr>
      <w:r>
        <w:rPr>
          <w:rFonts w:ascii="Arial" w:cs="Arial" w:eastAsia="Arial" w:hAnsi="Arial"/>
          <w:color w:val="1A1A2E"/>
          <w:sz w:val="22"/>
          <w:szCs w:val="22"/>
        </w:rPr>
        <w:t xml:space="preserve">Under Section 29(1)(m) of Government Decree 45/2014 (II. 26.), the consumer may not exercise this right in respect of digital content supplied on a non-tangible medium if performance began with the consumer's express prior consent, the consumer simultaneously acknowledged that the right under Section 20 is lost once performance begins, and the business sent the consumer a confirmation. The Pro subscription is activated immediately upon confirmation of the purchase, that is, performance begins when the contract is concluded; whether such a declaration is obtained and a confirmation sent during the purchase flow is determined by the Platform Provider's terms.</w:t>
      </w:r>
    </w:p>
    <w:p>
      <w:pPr>
        <w:spacing w:after="80" w:before="60"/>
        <w:jc w:val="both"/>
      </w:pPr>
      <w:r>
        <w:rPr>
          <w:rFonts w:ascii="Arial" w:cs="Arial" w:eastAsia="Arial" w:hAnsi="Arial"/>
          <w:color w:val="1A1A2E"/>
          <w:sz w:val="22"/>
          <w:szCs w:val="22"/>
        </w:rPr>
        <w:t xml:space="preserve">Where the consumer concludes a paid contract directly with the Service Provider, the consumer may declare withdrawal or termination under Section 22(1) of Government Decree 45/2014 (II. 26.) by an unequivocal statement — including by using the model form set out in Annex 2 to the Decree — sent to support@cashleticsapp.com. The Service Provider confirms receipt without delay and refunds the full amount paid by the consumer without delay, and in any event no later than fourteen days from becoming aware of the withdrawal (Section 23(1)).</w:t>
      </w:r>
    </w:p>
    <w:p>
      <w:pPr>
        <w:spacing w:after="80" w:before="60"/>
        <w:jc w:val="both"/>
      </w:pPr>
      <w:r>
        <w:rPr>
          <w:rFonts w:ascii="Arial" w:cs="Arial" w:eastAsia="Arial" w:hAnsi="Arial"/>
          <w:color w:val="1A1A2E"/>
          <w:sz w:val="22"/>
          <w:szCs w:val="22"/>
        </w:rPr>
        <w:t xml:space="preserve">Use of the free version does not give rise to any payment obligation, therefore no right of withdrawal applies to it; the account may nevertheless be deleted at any time.</w:t>
      </w:r>
    </w:p>
    <w:p>
      <w:pPr>
        <w:shd w:fill="1B6B4A" w:val="clear"/>
        <w:spacing w:after="120" w:before="280"/>
        <w:ind w:left="120" w:right="120"/>
      </w:pPr>
      <w:r>
        <w:rPr>
          <w:rFonts w:ascii="Arial" w:cs="Arial" w:eastAsia="Arial" w:hAnsi="Arial"/>
          <w:b/>
          <w:bCs/>
          <w:color w:val="FFFFFF"/>
          <w:sz w:val="24"/>
          <w:szCs w:val="24"/>
        </w:rPr>
        <w:t xml:space="preserve">6. Age Restriction</w:t>
      </w:r>
    </w:p>
    <w:p>
      <w:pPr>
        <w:spacing w:after="60" w:before="0"/>
      </w:pPr>
      <w:r>
        <w:t xml:space="preserve"/>
      </w:r>
    </w:p>
    <w:p>
      <w:pPr>
        <w:spacing w:after="80" w:before="60"/>
        <w:jc w:val="both"/>
      </w:pPr>
      <w:r>
        <w:rPr>
          <w:rFonts w:ascii="Arial" w:cs="Arial" w:eastAsia="Arial" w:hAnsi="Arial"/>
          <w:color w:val="1A1A2E"/>
          <w:sz w:val="22"/>
          <w:szCs w:val="22"/>
        </w:rPr>
        <w:t xml:space="preserve">The application is available exclusively to users aged 16 and over, for the following reasons:</w:t>
      </w:r>
    </w:p>
    <w:p>
      <w:pPr>
        <w:pStyle w:val="ListParagraph"/>
        <w:numPr>
          <w:ilvl w:val="0"/>
          <w:numId w:val="2"/>
        </w:numPr>
        <w:spacing w:after="40" w:before="40"/>
      </w:pPr>
      <w:r>
        <w:rPr>
          <w:rFonts w:ascii="Arial" w:cs="Arial" w:eastAsia="Arial" w:hAnsi="Arial"/>
          <w:color w:val="1A1A2E"/>
          <w:sz w:val="22"/>
          <w:szCs w:val="22"/>
        </w:rPr>
        <w:t xml:space="preserve">GDPR Article 8: processing personal data of persons under 16 requires parental / legal guardian consent.</w:t>
      </w:r>
    </w:p>
    <w:p>
      <w:pPr>
        <w:pStyle w:val="ListParagraph"/>
        <w:numPr>
          <w:ilvl w:val="0"/>
          <w:numId w:val="2"/>
        </w:numPr>
        <w:spacing w:after="40" w:before="40"/>
      </w:pPr>
      <w:r>
        <w:rPr>
          <w:rFonts w:ascii="Arial" w:cs="Arial" w:eastAsia="Arial" w:hAnsi="Arial"/>
          <w:color w:val="1A1A2E"/>
          <w:sz w:val="22"/>
          <w:szCs w:val="22"/>
        </w:rPr>
        <w:t xml:space="preserve">Google Play Families Policy: handling financial and health data automatically excludes a minor audience.</w:t>
      </w:r>
    </w:p>
    <w:p>
      <w:pPr>
        <w:pStyle w:val="ListParagraph"/>
        <w:numPr>
          <w:ilvl w:val="0"/>
          <w:numId w:val="2"/>
        </w:numPr>
        <w:spacing w:after="40" w:before="40"/>
      </w:pPr>
      <w:r>
        <w:rPr>
          <w:rFonts w:ascii="Arial" w:cs="Arial" w:eastAsia="Arial" w:hAnsi="Arial"/>
          <w:color w:val="1A1A2E"/>
          <w:sz w:val="22"/>
          <w:szCs w:val="22"/>
        </w:rPr>
        <w:t xml:space="preserve">The application conveys financial literacy content not suitable for users under 16.</w:t>
      </w:r>
    </w:p>
    <w:p>
      <w:pPr>
        <w:spacing w:after="60" w:before="0"/>
      </w:pPr>
      <w:r>
        <w:t xml:space="preserve"/>
      </w:r>
    </w:p>
    <w:p>
      <w:pPr>
        <w:spacing w:after="80" w:before="60"/>
        <w:jc w:val="both"/>
      </w:pPr>
      <w:r>
        <w:rPr>
          <w:rFonts w:ascii="Arial" w:cs="Arial" w:eastAsia="Arial" w:hAnsi="Arial"/>
          <w:color w:val="1A1A2E"/>
          <w:sz w:val="22"/>
          <w:szCs w:val="22"/>
        </w:rPr>
        <w:t xml:space="preserve">During registration, the user declares they have reached the age of 16. In the event of a false declaration, the Service Provider is entitled to delete the account with immediate effect.</w:t>
      </w:r>
    </w:p>
    <w:p>
      <w:pPr>
        <w:spacing w:after="60" w:before="0"/>
      </w:pPr>
      <w:r>
        <w:t xml:space="preserve"/>
      </w:r>
    </w:p>
    <w:p>
      <w:pPr>
        <w:shd w:fill="1B6B4A" w:val="clear"/>
        <w:spacing w:after="120" w:before="280"/>
        <w:ind w:left="120" w:right="120"/>
      </w:pPr>
      <w:r>
        <w:rPr>
          <w:rFonts w:ascii="Arial" w:cs="Arial" w:eastAsia="Arial" w:hAnsi="Arial"/>
          <w:b/>
          <w:bCs/>
          <w:color w:val="FFFFFF"/>
          <w:sz w:val="24"/>
          <w:szCs w:val="24"/>
        </w:rPr>
        <w:t xml:space="preserve">7. Banking Notification Reading</w:t>
      </w:r>
    </w:p>
    <w:p>
      <w:pPr>
        <w:spacing w:after="60" w:before="0"/>
      </w:pPr>
      <w:r>
        <w:t xml:space="preserve"/>
      </w:r>
    </w:p>
    <w:p>
      <w:pPr>
        <w:spacing w:after="80" w:before="60"/>
        <w:jc w:val="both"/>
      </w:pPr>
      <w:r>
        <w:rPr>
          <w:rFonts w:ascii="Arial" w:cs="Arial" w:eastAsia="Arial" w:hAnsi="Arial"/>
          <w:color w:val="1A1A2E"/>
          <w:sz w:val="22"/>
          <w:szCs w:val="22"/>
        </w:rPr>
        <w:t xml:space="preserve">The application may optionally — and only with the user's explicit consent — read the text content of banking and payment notifications to assist in identifying expenses.</w:t>
      </w:r>
    </w:p>
    <w:p>
      <w:pPr>
        <w:spacing w:after="60" w:before="0"/>
      </w:pPr>
      <w:r>
        <w:t xml:space="preserve"/>
      </w:r>
    </w:p>
    <w:p>
      <w:pPr>
        <w:spacing w:after="80" w:before="220"/>
      </w:pPr>
      <w:r>
        <w:rPr>
          <w:rFonts w:ascii="Arial" w:cs="Arial" w:eastAsia="Arial" w:hAnsi="Arial"/>
          <w:b/>
          <w:bCs/>
          <w:color w:val="1B6B4A"/>
          <w:sz w:val="22"/>
          <w:szCs w:val="22"/>
        </w:rPr>
        <w:t xml:space="preserve">Key conditions:</w:t>
      </w:r>
    </w:p>
    <w:p>
      <w:pPr>
        <w:pStyle w:val="ListParagraph"/>
        <w:numPr>
          <w:ilvl w:val="0"/>
          <w:numId w:val="2"/>
        </w:numPr>
        <w:spacing w:after="40" w:before="40"/>
      </w:pPr>
      <w:r>
        <w:rPr>
          <w:rFonts w:ascii="Arial" w:cs="Arial" w:eastAsia="Arial" w:hAnsi="Arial"/>
          <w:color w:val="1A1A2E"/>
          <w:sz w:val="22"/>
          <w:szCs w:val="22"/>
        </w:rPr>
        <w:t xml:space="preserve">The application reads ONLY the notification text — it does NOT access the user's bank account, account number, balance, or PIN.</w:t>
      </w:r>
    </w:p>
    <w:p>
      <w:pPr>
        <w:pStyle w:val="ListParagraph"/>
        <w:numPr>
          <w:ilvl w:val="0"/>
          <w:numId w:val="2"/>
        </w:numPr>
        <w:spacing w:after="40" w:before="40"/>
      </w:pPr>
      <w:r>
        <w:rPr>
          <w:rFonts w:ascii="Arial" w:cs="Arial" w:eastAsia="Arial" w:hAnsi="Arial"/>
          <w:color w:val="1A1A2E"/>
          <w:sz w:val="22"/>
          <w:szCs w:val="22"/>
        </w:rPr>
        <w:t xml:space="preserve">This feature requires separate consent (BH-001 / Banking Notification Consent) and can be disabled at any time.</w:t>
      </w:r>
    </w:p>
    <w:p>
      <w:pPr>
        <w:pStyle w:val="ListParagraph"/>
        <w:numPr>
          <w:ilvl w:val="0"/>
          <w:numId w:val="2"/>
        </w:numPr>
        <w:spacing w:after="40" w:before="40"/>
      </w:pPr>
      <w:r>
        <w:rPr>
          <w:rFonts w:ascii="Arial" w:cs="Arial" w:eastAsia="Arial" w:hAnsi="Arial"/>
          <w:color w:val="1A1A2E"/>
          <w:sz w:val="22"/>
          <w:szCs w:val="22"/>
        </w:rPr>
        <w:t xml:space="preserve">Recognised transactions can be reviewed, modified, or deleted by the user.</w:t>
      </w:r>
    </w:p>
    <w:p>
      <w:pPr>
        <w:pStyle w:val="ListParagraph"/>
        <w:numPr>
          <w:ilvl w:val="0"/>
          <w:numId w:val="2"/>
        </w:numPr>
        <w:spacing w:after="40" w:before="40"/>
      </w:pPr>
      <w:r>
        <w:rPr>
          <w:rFonts w:ascii="Arial" w:cs="Arial" w:eastAsia="Arial" w:hAnsi="Arial"/>
          <w:color w:val="1A1A2E"/>
          <w:sz w:val="22"/>
          <w:szCs w:val="22"/>
        </w:rPr>
        <w:t xml:space="preserve">This feature is compliant with Google Play Financial Data policy.</w:t>
      </w:r>
    </w:p>
    <w:p>
      <w:pPr>
        <w:spacing w:after="60" w:before="0"/>
      </w:pPr>
      <w:r>
        <w:t xml:space="preserve"/>
      </w:r>
    </w:p>
    <w:p>
      <w:pPr>
        <w:shd w:fill="1B6B4A" w:val="clear"/>
        <w:spacing w:after="120" w:before="280"/>
        <w:ind w:left="120" w:right="120"/>
      </w:pPr>
      <w:r>
        <w:rPr>
          <w:rFonts w:ascii="Arial" w:cs="Arial" w:eastAsia="Arial" w:hAnsi="Arial"/>
          <w:b/>
          <w:bCs/>
          <w:color w:val="FFFFFF"/>
          <w:sz w:val="24"/>
          <w:szCs w:val="24"/>
        </w:rPr>
        <w:t xml:space="preserve">8. Gamification System — Legal Status of Points</w:t>
      </w:r>
    </w:p>
    <w:p>
      <w:pPr>
        <w:spacing w:after="60" w:before="0"/>
      </w:pPr>
      <w:r>
        <w:t xml:space="preserve"/>
      </w:r>
    </w:p>
    <w:p>
      <w:pPr>
        <w:spacing w:after="80" w:before="60"/>
        <w:jc w:val="both"/>
      </w:pPr>
      <w:r>
        <w:rPr>
          <w:rFonts w:ascii="Arial" w:cs="Arial" w:eastAsia="Arial" w:hAnsi="Arial"/>
          <w:color w:val="1A1A2E"/>
          <w:sz w:val="22"/>
          <w:szCs w:val="22"/>
        </w:rPr>
        <w:t xml:space="preserve">The application includes a gamified motivation system (XP, CP, coins, badges). Their legal status is expressly set out below:</w:t>
      </w:r>
    </w:p>
    <w:p>
      <w:pPr>
        <w:spacing w:after="60" w:before="0"/>
      </w:pPr>
      <w:r>
        <w:t xml:space="preserve"/>
      </w:r>
    </w:p>
    <w:tbl>
      <w:tblPr>
        <w:tblW w:type="dxa" w:w="9638"/>
        <w:tblBorders>
          <w:top w:val="single" w:color="C8E6DA" w:sz="4"/>
          <w:left w:val="single" w:color="C8E6DA" w:sz="4"/>
          <w:bottom w:val="single" w:color="C8E6DA" w:sz="4"/>
          <w:right w:val="single" w:color="C8E6DA" w:sz="4"/>
          <w:insideH w:val="single" w:color="auto" w:sz="4"/>
          <w:insideV w:val="single" w:color="auto" w:sz="4"/>
        </w:tblBorders>
      </w:tblPr>
      <w:tblGrid>
        <w:gridCol w:w="2800"/>
        <w:gridCol w:w="6838"/>
      </w:tblGrid>
      <w:tr>
        <w:trPr>
          <w:tblHeader/>
        </w:trPr>
        <w:tc>
          <w:tcPr>
            <w:tcW w:type="dxa" w:w="28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Element</w:t>
            </w:r>
          </w:p>
        </w:tc>
        <w:tc>
          <w:tcPr>
            <w:tcW w:type="dxa" w:w="6838"/>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Legal classification</w:t>
            </w:r>
          </w:p>
        </w:tc>
      </w:tr>
      <w:tr>
        <w:tc>
          <w:tcPr>
            <w:tcW w:type="dxa" w:w="2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XP (Experience Point)</w:t>
            </w:r>
          </w:p>
        </w:tc>
        <w:tc>
          <w:tcPr>
            <w:tcW w:type="dxa" w:w="68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NOT money, NOT monetary equivalent, NOT redeemable for cash or any payment instrument</w:t>
            </w:r>
          </w:p>
        </w:tc>
      </w:tr>
      <w:tr>
        <w:tc>
          <w:tcPr>
            <w:tcW w:type="dxa" w:w="28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CP (Cashletics Point)</w:t>
            </w:r>
          </w:p>
        </w:tc>
        <w:tc>
          <w:tcPr>
            <w:tcW w:type="dxa" w:w="68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
              <w:rPr/>
              <w:t>An internal application point used for gamification. CP is not money and has no cash value. The system separates free earned CP and CP purchased through Google Play; entry tickets can be redeemed only from free earned CP.</w:t>
            </w:r>
          </w:p>
        </w:tc>
      </w:tr>
      <w:tr>
        <w:tc>
          <w:tcPr>
            <w:tcW w:type="dxa" w:w="2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Coins</w:t>
            </w:r>
          </w:p>
        </w:tc>
        <w:tc>
          <w:tcPr>
            <w:tcW w:type="dxa" w:w="68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Visual reward only — NOT a financial claim</w:t>
            </w:r>
          </w:p>
        </w:tc>
      </w:tr>
      <w:tr>
        <w:tc>
          <w:tcPr>
            <w:tcW w:type="dxa" w:w="28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Badges</w:t>
            </w:r>
          </w:p>
        </w:tc>
        <w:tc>
          <w:tcPr>
            <w:tcW w:type="dxa" w:w="68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Visual / status element only — NOT a financial claim</w:t>
            </w:r>
          </w:p>
        </w:tc>
      </w:tr>
    </w:tbl>
    <w:p>
      <w:pPr>
        <w:spacing w:after="60" w:before="0"/>
      </w:pPr>
      <w:r>
        <w:t xml:space="preserve"/>
      </w:r>
    </w:p>
    <w:p>
      <w:pPr>
        <w:spacing w:after="80" w:before="60"/>
        <w:jc w:val="both"/>
      </w:pPr>
      <w:r>
        <w:rPr>
          <w:rFonts w:ascii="Arial" w:cs="Arial" w:eastAsia="Arial" w:hAnsi="Arial"/>
          <w:color w:val="1A1A2E"/>
          <w:sz w:val="22"/>
          <w:szCs w:val="22"/>
        </w:rPr>
        <w:t xml:space="preserve">Points and badges do not represent any financial obligation on the part of the Service Provider. The Service Provider reserves the right to modify the in-app point and reward mechanism; however, points already earned will not be reduced retroactively.</w:t>
      </w:r>
    </w:p>
    <w:p>
      <w:pPr>
        <w:spacing w:after="60" w:before="0"/>
      </w:pPr>
      <w:r>
        <w:t xml:space="preserve"/>
      </w:r>
    </w:p>
    <w:p>
      <w:pPr>
        <w:spacing w:after="80" w:before="220"/>
      </w:pPr>
      <w:r>
        <w:rPr>
          <w:rFonts w:ascii="Arial" w:cs="Arial" w:eastAsia="Arial" w:hAnsi="Arial"/>
          <w:b/>
          <w:bCs/>
          <w:color w:val="1B6B4A"/>
          <w:sz w:val="22"/>
          <w:szCs w:val="22"/>
        </w:rPr>
        <w:t xml:space="preserve">8.1 Daily Spin Wheel</w:t>
      </w:r>
    </w:p>
    <w:p>
      <w:pPr>
        <w:spacing w:after="80" w:before="60"/>
        <w:jc w:val="both"/>
      </w:pPr>
      <w:r>
        <w:rPr>
          <w:rFonts w:ascii="Arial" w:cs="Arial" w:eastAsia="Arial" w:hAnsi="Arial"/>
          <w:color w:val="1A1A2E"/>
          <w:sz w:val="22"/>
          <w:szCs w:val="22"/>
        </w:rPr>
        <w:t xml:space="preserve">The daily spin wheel is a gamified motivational feature. Users may spin once per day. Prizes: XP, CP, bonus points, badges. No cash prizes. Participation is free — no financial consideration is required. The spin wheel does not fall within the scope of Act XXXIV of 1991 (Hungarian Gaming Act). Full reasoning: PR-001 Promotional Rules.</w:t>
      </w:r>
    </w:p>
    <w:p>
      <w:pPr>
        <w:spacing w:after="60" w:before="0"/>
      </w:pPr>
      <w:r>
        <w:t xml:space="preserve"/>
      </w:r>
    </w:p>
    <w:p>
      <w:pPr>
        <w:spacing w:after="80" w:before="220"/>
      </w:pPr>
      <w:r>
        <w:rPr>
          <w:rFonts w:ascii="Arial" w:cs="Arial" w:eastAsia="Arial" w:hAnsi="Arial"/>
          <w:color w:val="1B6B4A"/>
          <w:sz w:val="22"/>
          <w:szCs w:val="22"/>
        </w:rPr>
        <w:t xml:space="preserve">8.2 The PiggyRun Mini-Game, Piggy Coin and Reward Packages</w:t>
      </w:r>
    </w:p>
    <w:p>
      <w:pPr>
        <w:spacing w:after="80" w:before="60"/>
        <w:jc w:val="both"/>
      </w:pPr>
      <w:r>
        <w:rPr>
          <w:rFonts w:ascii="Arial" w:cs="Arial" w:eastAsia="Arial" w:hAnsi="Arial"/>
          <w:sz w:val="22"/>
          <w:szCs w:val="22"/>
          <w:b/>
          <w:bCs/>
        </w:rPr>
        <w:t xml:space="preserve">The PiggyRun mini-game. </w:t>
      </w:r>
      <w:r>
        <w:rPr>
          <w:rFonts w:ascii="Arial" w:cs="Arial" w:eastAsia="Arial" w:hAnsi="Arial"/>
          <w:sz w:val="22"/>
          <w:szCs w:val="22"/>
        </w:rPr>
        <w:t xml:space="preserve">PiggyRun is a skill-based mini-game integrated into the Cashletics application and linked to the user account; its use requires no separate registration and is voluntary. XP, free earned CP and Piggy Coin can be earned through the game, under pre-announced conditions and server-side limits; rewards are credited exclusively on the basis of a valid, server-side verified run completion.</w:t>
      </w:r>
    </w:p>
    <w:p>
      <w:pPr>
        <w:spacing w:after="80" w:before="60"/>
        <w:jc w:val="both"/>
      </w:pPr>
      <w:r>
        <w:rPr>
          <w:rFonts w:ascii="Arial" w:cs="Arial" w:eastAsia="Arial" w:hAnsi="Arial"/>
          <w:sz w:val="22"/>
          <w:szCs w:val="22"/>
          <w:b/>
          <w:bCs/>
        </w:rPr>
        <w:t xml:space="preserve">Piggy Coin. </w:t>
      </w:r>
      <w:r>
        <w:rPr>
          <w:rFonts w:ascii="Arial" w:cs="Arial" w:eastAsia="Arial" w:hAnsi="Arial"/>
          <w:sz w:val="22"/>
          <w:szCs w:val="22"/>
        </w:rPr>
        <w:t xml:space="preserve">The internal game unit of PiggyRun is the Piggy Coin, which is not money, not electronic money and cannot be redeemed for cash. Cashletics separates free earned and purchased CP balances, and this origin is preserved throughout all Piggy Coin operations. Redemption of Piggy Coin for CP is possible exclusively against the coin portion of free origin, in accordance with the rules and limits published from time to time; any credit is in every case made as free earned CP. Piggy Coin derived from purchased CP cannot be redeemed for CP in any way.</w:t>
      </w:r>
    </w:p>
    <w:p>
      <w:pPr>
        <w:spacing w:after="80" w:before="60"/>
        <w:jc w:val="both"/>
      </w:pPr>
      <w:r>
        <w:rPr>
          <w:rFonts w:ascii="Arial" w:cs="Arial" w:eastAsia="Arial" w:hAnsi="Arial"/>
          <w:sz w:val="22"/>
          <w:szCs w:val="22"/>
          <w:b/>
          <w:bCs/>
        </w:rPr>
        <w:t xml:space="preserve">Reward packages. </w:t>
      </w:r>
      <w:r>
        <w:rPr>
          <w:rFonts w:ascii="Arial" w:cs="Arial" w:eastAsia="Arial" w:hAnsi="Arial"/>
          <w:sz w:val="22"/>
          <w:szCs w:val="22"/>
        </w:rPr>
        <w:t xml:space="preserve">Random reward packages (loot boxes) can be obtained exclusively free of charge; their contents are in-app virtual items. Their detailed rules are set out in the Promotional and Prize Rules.</w:t>
      </w:r>
    </w:p>
    <w:p>
      <w:pPr>
        <w:shd w:fill="1B6B4A" w:val="clear"/>
        <w:spacing w:after="120" w:before="280"/>
        <w:ind w:left="120" w:right="120"/>
      </w:pPr>
      <w:r>
        <w:rPr>
          <w:rFonts w:ascii="Arial" w:cs="Arial" w:eastAsia="Arial" w:hAnsi="Arial"/>
          <w:b/>
          <w:bCs/>
          <w:color w:val="FFFFFF"/>
          <w:sz w:val="24"/>
          <w:szCs w:val="24"/>
        </w:rPr>
        <w:t xml:space="preserve">9. Advertisements and AdMob</w:t>
      </w:r>
    </w:p>
    <w:p>
      <w:pPr>
        <w:spacing w:after="60" w:before="0"/>
      </w:pPr>
      <w:r>
        <w:t xml:space="preserve"/>
      </w:r>
    </w:p>
    <w:p>
      <w:pPr>
        <w:spacing w:after="80" w:before="60"/>
        <w:jc w:val="both"/>
      </w:pPr>
      <w:r>
        <w:rPr>
          <w:rFonts w:ascii="Arial" w:cs="Arial" w:eastAsia="Arial" w:hAnsi="Arial"/>
          <w:color w:val="1A1A2E"/>
          <w:sz w:val="22"/>
          <w:szCs w:val="22"/>
        </w:rPr>
        <w:t xml:space="preserve">In the free version, advertisements may be displayed via the Google AdMob SDK. Pro subscribers use the application ad-free.</w:t>
      </w:r>
    </w:p>
    <w:p>
      <w:pPr>
        <w:spacing w:after="60" w:before="0"/>
      </w:pPr>
      <w:r>
        <w:t xml:space="preserve"/>
      </w:r>
    </w:p>
    <w:p>
      <w:pPr>
        <w:spacing w:after="80" w:before="220"/>
      </w:pPr>
      <w:r>
        <w:rPr>
          <w:rFonts w:ascii="Arial" w:cs="Arial" w:eastAsia="Arial" w:hAnsi="Arial"/>
          <w:b/>
          <w:bCs/>
          <w:color w:val="1B6B4A"/>
          <w:sz w:val="22"/>
          <w:szCs w:val="22"/>
        </w:rPr>
        <w:t xml:space="preserve">9.1 Rewarded ads and CP rewards</w:t>
      </w:r>
    </w:p>
    <w:p>
      <w:pPr>
        <w:pStyle w:val="ListParagraph"/>
        <w:numPr>
          <w:ilvl w:val="0"/>
          <w:numId w:val="2"/>
        </w:numPr>
        <w:spacing w:after="40" w:before="40"/>
      </w:pPr>
      <w:r>
        <w:rPr>
          <w:rFonts w:ascii="Arial" w:cs="Arial" w:eastAsia="Arial" w:hAnsi="Arial"/>
          <w:color w:val="1A1A2E"/>
          <w:sz w:val="22"/>
          <w:szCs w:val="22"/>
        </w:rPr>
        <w:t xml:space="preserve">For certain in-app actions (e.g. collecting a reward), the user may optionally watch a rewarded ad to earn additional CP.</w:t>
      </w:r>
    </w:p>
    <w:p>
      <w:pPr>
        <w:pStyle w:val="ListParagraph"/>
        <w:numPr>
          <w:ilvl w:val="0"/>
          <w:numId w:val="2"/>
        </w:numPr>
        <w:spacing w:after="40" w:before="40"/>
      </w:pPr>
      <w:r>
        <w:rPr>
          <w:rFonts w:ascii="Arial" w:cs="Arial" w:eastAsia="Arial" w:hAnsi="Arial"/>
          <w:color w:val="1A1A2E"/>
          <w:sz w:val="22"/>
          <w:szCs w:val="22"/>
        </w:rPr>
        <w:t xml:space="preserve">Viewing a rewarded ad is NOT mandatory — the base reward is available without watching an ad.</w:t>
      </w:r>
    </w:p>
    <w:p>
      <w:pPr>
        <w:pStyle w:val="ListParagraph"/>
        <w:numPr>
          <w:ilvl w:val="0"/>
          <w:numId w:val="2"/>
        </w:numPr>
        <w:spacing w:after="40" w:before="40"/>
      </w:pPr>
      <w:r>
        <w:rPr>
          <w:rFonts w:ascii="Arial" w:cs="Arial" w:eastAsia="Arial" w:hAnsi="Arial"/>
          <w:color w:val="1A1A2E"/>
          <w:sz w:val="22"/>
          <w:szCs w:val="22"/>
        </w:rPr>
        <w:t xml:space="preserve">Maximum CP earnable from ads: 1 rewarded ad = 1 CP | maximum 5 CP/day, 25 CP/week, 75 CP/month (backend limit, not adjustable by the user). After CP limit: 1 rewarded ad = 10 XP | maximum 50 XP/day, 250 XP/week, 750 XP/month. Extra lucky wheel spin: maximum 1/day from rewarded ads..</w:t>
      </w:r>
    </w:p>
    <w:p>
      <w:pPr>
        <w:pStyle w:val="ListParagraph"/>
        <w:numPr>
          <w:ilvl w:val="0"/>
          <w:numId w:val="2"/>
        </w:numPr>
        <w:spacing w:after="40" w:before="40"/>
      </w:pPr>
      <w:r>
        <w:rPr>
          <w:rFonts w:ascii="Arial" w:cs="Arial" w:eastAsia="Arial" w:hAnsi="Arial"/>
          <w:color w:val="1A1A2E"/>
          <w:sz w:val="22"/>
          <w:szCs w:val="22"/>
        </w:rPr>
        <w:t xml:space="preserve">CP is not money and cannot be redeemed for cash (see Section 8).</w:t>
      </w:r>
    </w:p>
    <w:p>
      <w:pPr>
        <w:spacing w:after="60" w:before="0"/>
      </w:pPr>
      <w:r>
        <w:t xml:space="preserve"/>
      </w:r>
    </w:p>
    <w:p>
      <w:pPr>
        <w:spacing w:after="80" w:before="220"/>
      </w:pPr>
      <w:r>
        <w:rPr>
          <w:rFonts w:ascii="Arial" w:cs="Arial" w:eastAsia="Arial" w:hAnsi="Arial"/>
          <w:b/>
          <w:bCs/>
          <w:color w:val="1B6B4A"/>
          <w:sz w:val="22"/>
          <w:szCs w:val="22"/>
        </w:rPr>
        <w:t xml:space="preserve">9.2 AdMob data processing</w:t>
      </w:r>
    </w:p>
    <w:p>
      <w:pPr>
        <w:spacing w:after="80" w:before="60"/>
        <w:jc w:val="both"/>
      </w:pPr>
      <w:r>
        <w:rPr>
          <w:rFonts w:ascii="Arial" w:cs="Arial" w:eastAsia="Arial" w:hAnsi="Arial"/>
          <w:color w:val="1A1A2E"/>
          <w:sz w:val="22"/>
          <w:szCs w:val="22"/>
        </w:rPr>
        <w:t xml:space="preserve">AdMob (Google LLC) operates as an independent data processor. Details: AT-001-EN and DPA-001.</w:t>
      </w:r>
    </w:p>
    <w:p>
      <w:pPr>
        <w:spacing w:after="60" w:before="0"/>
      </w:pPr>
      <w:r>
        <w:t xml:space="preserve"/>
      </w:r>
    </w:p>
    <w:p>
      <w:pPr>
        <w:shd w:fill="1B6B4A" w:val="clear"/>
        <w:spacing w:after="120" w:before="280"/>
        <w:ind w:left="120" w:right="120"/>
      </w:pPr>
      <w:r>
        <w:rPr>
          <w:rFonts w:ascii="Arial" w:cs="Arial" w:eastAsia="Arial" w:hAnsi="Arial"/>
          <w:b/>
          <w:bCs/>
          <w:color w:val="FFFFFF"/>
          <w:sz w:val="24"/>
          <w:szCs w:val="24"/>
        </w:rPr>
        <w:t xml:space="preserve">10. Leaderboard and Publicly Shared Data</w:t>
      </w:r>
    </w:p>
    <w:p>
      <w:pPr>
        <w:spacing w:after="60" w:before="0"/>
      </w:pPr>
      <w:r>
        <w:t xml:space="preserve"/>
      </w:r>
    </w:p>
    <w:p>
      <w:pPr>
        <w:spacing w:after="80" w:before="60"/>
        <w:jc w:val="both"/>
      </w:pPr>
      <w:r>
        <w:rPr>
          <w:rFonts w:ascii="Arial" w:cs="Arial" w:eastAsia="Arial" w:hAnsi="Arial"/>
          <w:color w:val="1A1A2E"/>
          <w:sz w:val="22"/>
          <w:szCs w:val="22"/>
        </w:rPr>
        <w:t xml:space="preserve">The application may include a leaderboard on which the user's username, avatar, and score may be publicly visible. Key conditions:</w:t>
      </w:r>
    </w:p>
    <w:p>
      <w:pPr>
        <w:pStyle w:val="ListParagraph"/>
        <w:numPr>
          <w:ilvl w:val="0"/>
          <w:numId w:val="2"/>
        </w:numPr>
        <w:spacing w:after="40" w:before="40"/>
      </w:pPr>
      <w:r>
        <w:rPr>
          <w:rFonts w:ascii="Arial" w:cs="Arial" w:eastAsia="Arial" w:hAnsi="Arial"/>
          <w:color w:val="1A1A2E"/>
          <w:sz w:val="22"/>
          <w:szCs w:val="22"/>
        </w:rPr>
        <w:t xml:space="preserve">Appearing on the leaderboard requires the user's explicit consent.</w:t>
      </w:r>
    </w:p>
    <w:p>
      <w:pPr>
        <w:pStyle w:val="ListParagraph"/>
        <w:numPr>
          <w:ilvl w:val="0"/>
          <w:numId w:val="2"/>
        </w:numPr>
        <w:spacing w:after="40" w:before="40"/>
      </w:pPr>
      <w:r>
        <w:rPr>
          <w:rFonts w:ascii="Arial" w:cs="Arial" w:eastAsia="Arial" w:hAnsi="Arial"/>
          <w:color w:val="1A1A2E"/>
          <w:sz w:val="22"/>
          <w:szCs w:val="22"/>
        </w:rPr>
        <w:t xml:space="preserve">Sensitive personal data (real name, email address, financial data, health data) is NEVER publicly displayed.</w:t>
      </w:r>
    </w:p>
    <w:p>
      <w:pPr>
        <w:pStyle w:val="ListParagraph"/>
        <w:numPr>
          <w:ilvl w:val="0"/>
          <w:numId w:val="2"/>
        </w:numPr>
        <w:spacing w:after="40" w:before="40"/>
      </w:pPr>
      <w:r>
        <w:rPr>
          <w:rFonts w:ascii="Arial" w:cs="Arial" w:eastAsia="Arial" w:hAnsi="Arial"/>
          <w:color w:val="1A1A2E"/>
          <w:sz w:val="22"/>
          <w:szCs w:val="22"/>
        </w:rPr>
        <w:t xml:space="preserve">The user may opt out of the leaderboard and withdraw consent at any time.</w:t>
      </w:r>
    </w:p>
    <w:p>
      <w:pPr>
        <w:pStyle w:val="ListParagraph"/>
        <w:numPr>
          <w:ilvl w:val="0"/>
          <w:numId w:val="2"/>
        </w:numPr>
        <w:spacing w:after="40" w:before="40"/>
      </w:pPr>
      <w:r>
        <w:rPr>
          <w:rFonts w:ascii="Arial" w:cs="Arial" w:eastAsia="Arial" w:hAnsi="Arial"/>
          <w:color w:val="1A1A2E"/>
          <w:sz w:val="22"/>
          <w:szCs w:val="22"/>
        </w:rPr>
        <w:t xml:space="preserve">If the username is changed, the leaderboard entry is updated accordingly.</w:t>
      </w:r>
    </w:p>
    <w:p>
      <w:pPr>
        <w:spacing w:after="60" w:before="0"/>
      </w:pPr>
      <w:r>
        <w:t xml:space="preserve"/>
      </w:r>
    </w:p>
    <w:p>
      <w:pPr>
        <w:shd w:fill="1B6B4A" w:val="clear"/>
        <w:spacing w:after="120" w:before="280"/>
        <w:ind w:left="120" w:right="120"/>
      </w:pPr>
      <w:r>
        <w:rPr>
          <w:rFonts w:ascii="Arial" w:cs="Arial" w:eastAsia="Arial" w:hAnsi="Arial"/>
          <w:b/>
          <w:bCs/>
          <w:color w:val="FFFFFF"/>
          <w:sz w:val="24"/>
          <w:szCs w:val="24"/>
        </w:rPr>
        <w:t xml:space="preserve">11. Prizes and Promotions</w:t>
      </w:r>
    </w:p>
    <w:p>
      <w:pPr>
        <w:spacing w:after="60" w:before="0"/>
      </w:pPr>
      <w:r>
        <w:t xml:space="preserve"/>
      </w:r>
    </w:p>
    <w:p>
      <w:pPr>
        <w:spacing w:after="80" w:before="60"/>
        <w:jc w:val="both"/>
      </w:pPr>
      <w:r>
        <w:rPr>
          <w:rFonts w:ascii="Arial" w:cs="Arial" w:eastAsia="Arial" w:hAnsi="Arial"/>
          <w:color w:val="1A1A2E"/>
          <w:sz w:val="22"/>
          <w:szCs w:val="22"/>
        </w:rPr>
        <w:t xml:space="preserve">The application may offer physical prizes through draw-based promotional campaigns. The following applies to all promotions:</w:t>
      </w:r>
    </w:p>
    <w:p>
      <w:pPr>
        <w:pStyle w:val="ListParagraph"/>
        <w:numPr>
          <w:ilvl w:val="0"/>
          <w:numId w:val="2"/>
        </w:numPr>
        <w:spacing w:after="40" w:before="40"/>
      </w:pPr>
      <w:r>
        <w:rPr>
          <w:rFonts w:ascii="Arial" w:cs="Arial" w:eastAsia="Arial" w:hAnsi="Arial"/>
          <w:color w:val="1A1A2E"/>
          <w:sz w:val="22"/>
          <w:szCs w:val="22"/>
        </w:rPr>
        <w:t xml:space="preserve">Cash prizes are never offered — only physical goods.</w:t>
      </w:r>
    </w:p>
    <w:p>
      <w:pPr>
        <w:pStyle w:val="ListParagraph"/>
        <w:numPr>
          <w:ilvl w:val="0"/>
          <w:numId w:val="2"/>
        </w:numPr>
        <w:spacing w:after="40" w:before="40"/>
      </w:pPr>
      <w:r>
        <w:rPr>
          <w:rFonts w:ascii="Arial" w:cs="Arial" w:eastAsia="Arial" w:hAnsi="Arial"/>
          <w:color w:val="1A1A2E"/>
          <w:sz w:val="22"/>
          <w:szCs w:val="22"/>
        </w:rPr>
        <w:t xml:space="preserve">Internal points (XP, CP, coins) cannot be redeemed for cash.</w:t>
      </w:r>
    </w:p>
    <w:p>
      <w:pPr>
        <w:pStyle w:val="ListParagraph"/>
        <w:numPr>
          <w:ilvl w:val="0"/>
          <w:numId w:val="2"/>
        </w:numPr>
        <w:spacing w:after="40" w:before="40"/>
      </w:pPr>
      <w:r>
        <w:rPr>
          <w:rFonts w:ascii="Arial" w:cs="Arial" w:eastAsia="Arial" w:hAnsi="Arial"/>
          <w:color w:val="1A1A2E"/>
          <w:sz w:val="22"/>
          <w:szCs w:val="22"/>
        </w:rPr>
        <w:t xml:space="preserve">Separate participation terms will be published for each promotion (under PR-001 Promotional Rules).</w:t>
      </w:r>
    </w:p>
    <w:p>
      <w:pPr>
        <w:pStyle w:val="ListParagraph"/>
        <w:numPr>
          <w:ilvl w:val="0"/>
          <w:numId w:val="2"/>
        </w:numPr>
        <w:spacing w:after="40" w:before="40"/>
      </w:pPr>
      <w:r>
        <w:rPr>
          <w:rFonts w:ascii="Arial" w:cs="Arial" w:eastAsia="Arial" w:hAnsi="Arial"/>
          <w:color w:val="1A1A2E"/>
          <w:sz w:val="22"/>
          <w:szCs w:val="22"/>
        </w:rPr>
        <w:t xml:space="preserve">Winners are selected by a documented, random draw.</w:t>
      </w:r>
    </w:p>
    <w:p>
      <w:pPr>
        <w:pStyle w:val="ListParagraph"/>
        <w:numPr>
          <w:ilvl w:val="0"/>
          <w:numId w:val="2"/>
        </w:numPr>
        <w:spacing w:after="40" w:before="40"/>
      </w:pPr>
      <w:r>
        <w:rPr>
          <w:rFonts w:ascii="Arial" w:cs="Arial" w:eastAsia="Arial" w:hAnsi="Arial"/>
          <w:color w:val="1A1A2E"/>
          <w:sz w:val="22"/>
          <w:szCs w:val="22"/>
        </w:rPr>
        <w:t xml:space="preserve">Participation in prize draws is NOT conditional on viewing an advertisement.</w:t>
      </w:r>
    </w:p>
    <w:p>
      <w:pPr>
        <w:spacing w:after="60" w:before="0"/>
      </w:pPr>
      <w:r>
        <w:t xml:space="preserve"/>
      </w:r>
    </w:p>
    <w:p>
      <w:pPr>
        <w:shd w:fill="1B6B4A" w:val="clear"/>
        <w:spacing w:after="120" w:before="280"/>
        <w:ind w:left="120" w:right="120"/>
      </w:pPr>
      <w:r>
        <w:rPr>
          <w:rFonts w:ascii="Arial" w:cs="Arial" w:eastAsia="Arial" w:hAnsi="Arial"/>
          <w:b/>
          <w:bCs/>
          <w:color w:val="FFFFFF"/>
          <w:sz w:val="24"/>
          <w:szCs w:val="24"/>
        </w:rPr>
        <w:t xml:space="preserve">12. Intellectual Property</w:t>
      </w:r>
    </w:p>
    <w:p>
      <w:pPr>
        <w:spacing w:after="60" w:before="0"/>
      </w:pPr>
      <w:r>
        <w:t xml:space="preserve"/>
      </w:r>
    </w:p>
    <w:p>
      <w:pPr>
        <w:spacing w:after="80" w:before="60"/>
        <w:jc w:val="both"/>
      </w:pPr>
      <w:r>
        <w:rPr>
          <w:rFonts w:ascii="Arial" w:cs="Arial" w:eastAsia="Arial" w:hAnsi="Arial"/>
          <w:color w:val="1A1A2E"/>
          <w:sz w:val="22"/>
          <w:szCs w:val="22"/>
        </w:rPr>
        <w:t xml:space="preserve">The Cashletics application, graphics, text, logo, and related content are the exclusive intellectual property of the Service Provider and are protected by copyright. The user receives a limited, non-transferable licence to use the application.</w:t>
      </w:r>
    </w:p>
    <w:p>
      <w:pPr>
        <w:spacing w:after="80" w:before="60"/>
        <w:jc w:val="both"/>
      </w:pPr>
      <w:r>
        <w:rPr>
          <w:rFonts w:ascii="Arial" w:cs="Arial" w:eastAsia="Arial" w:hAnsi="Arial"/>
          <w:color w:val="1A1A2E"/>
          <w:sz w:val="22"/>
          <w:szCs w:val="22"/>
        </w:rPr>
        <w:t xml:space="preserve">Prohibited: copying, modifying, reverse engineering, distributing, or commercial use of the application.</w:t>
      </w:r>
    </w:p>
    <w:p>
      <w:pPr>
        <w:spacing w:after="60" w:before="0"/>
      </w:pPr>
      <w:r>
        <w:t xml:space="preserve"/>
      </w:r>
    </w:p>
    <w:p>
      <w:pPr>
        <w:shd w:fill="1B6B4A" w:val="clear"/>
        <w:spacing w:after="120" w:before="280"/>
        <w:ind w:left="120" w:right="120"/>
      </w:pPr>
      <w:r>
        <w:rPr>
          <w:rFonts w:ascii="Arial" w:cs="Arial" w:eastAsia="Arial" w:hAnsi="Arial"/>
          <w:b/>
          <w:bCs/>
          <w:color w:val="FFFFFF"/>
          <w:sz w:val="24"/>
          <w:szCs w:val="24"/>
        </w:rPr>
        <w:t xml:space="preserve">13. Limitation of Liability</w:t>
      </w:r>
    </w:p>
    <w:p>
      <w:pPr>
        <w:spacing w:after="60" w:before="0"/>
      </w:pPr>
      <w:r>
        <w:t xml:space="preserve"/>
      </w:r>
    </w:p>
    <w:p>
      <w:pPr>
        <w:spacing w:after="80" w:before="60"/>
        <w:jc w:val="both"/>
      </w:pPr>
      <w:r>
        <w:rPr>
          <w:rFonts w:ascii="Arial" w:cs="Arial" w:eastAsia="Arial" w:hAnsi="Arial"/>
          <w:color w:val="1A1A2E"/>
          <w:sz w:val="22"/>
          <w:szCs w:val="22"/>
        </w:rPr>
        <w:t xml:space="preserve">The Service Provider excludes liability in the following cases:</w:t>
      </w:r>
    </w:p>
    <w:p>
      <w:pPr>
        <w:pStyle w:val="ListParagraph"/>
        <w:numPr>
          <w:ilvl w:val="0"/>
          <w:numId w:val="2"/>
        </w:numPr>
        <w:spacing w:after="40" w:before="40"/>
      </w:pPr>
      <w:r>
        <w:rPr>
          <w:rFonts w:ascii="Arial" w:cs="Arial" w:eastAsia="Arial" w:hAnsi="Arial"/>
          <w:color w:val="1A1A2E"/>
          <w:sz w:val="22"/>
          <w:szCs w:val="22"/>
        </w:rPr>
        <w:t xml:space="preserve">Damage arising from inaccurate data entered by the user</w:t>
      </w:r>
    </w:p>
    <w:p>
      <w:pPr>
        <w:pStyle w:val="ListParagraph"/>
        <w:numPr>
          <w:ilvl w:val="0"/>
          <w:numId w:val="2"/>
        </w:numPr>
        <w:spacing w:after="40" w:before="40"/>
      </w:pPr>
      <w:r>
        <w:rPr>
          <w:rFonts w:ascii="Arial" w:cs="Arial" w:eastAsia="Arial" w:hAnsi="Arial"/>
          <w:color w:val="1A1A2E"/>
          <w:sz w:val="22"/>
          <w:szCs w:val="22"/>
        </w:rPr>
        <w:t xml:space="preserve">Financial decisions made on the basis of informational reports generated by the application</w:t>
      </w:r>
    </w:p>
    <w:p>
      <w:pPr>
        <w:pStyle w:val="ListParagraph"/>
        <w:numPr>
          <w:ilvl w:val="0"/>
          <w:numId w:val="2"/>
        </w:numPr>
        <w:spacing w:after="40" w:before="40"/>
      </w:pPr>
      <w:r>
        <w:rPr>
          <w:rFonts w:ascii="Arial" w:cs="Arial" w:eastAsia="Arial" w:hAnsi="Arial"/>
          <w:color w:val="1A1A2E"/>
          <w:sz w:val="22"/>
          <w:szCs w:val="22"/>
        </w:rPr>
        <w:t xml:space="preserve">Temporary unavailability of the application (maintenance, technical issues)</w:t>
      </w:r>
    </w:p>
    <w:p>
      <w:pPr>
        <w:pStyle w:val="ListParagraph"/>
        <w:numPr>
          <w:ilvl w:val="0"/>
          <w:numId w:val="2"/>
        </w:numPr>
        <w:spacing w:after="40" w:before="40"/>
      </w:pPr>
      <w:r>
        <w:rPr>
          <w:rFonts w:ascii="Arial" w:cs="Arial" w:eastAsia="Arial" w:hAnsi="Arial"/>
          <w:color w:val="1A1A2E"/>
          <w:sz w:val="22"/>
          <w:szCs w:val="22"/>
        </w:rPr>
        <w:t xml:space="preserve">Damage arising from third-party platforms (Google Play, Apple App Store, Firebase, AdMob)</w:t>
      </w:r>
    </w:p>
    <w:p>
      <w:pPr>
        <w:pStyle w:val="ListParagraph"/>
        <w:numPr>
          <w:ilvl w:val="0"/>
          <w:numId w:val="2"/>
        </w:numPr>
        <w:spacing w:after="40" w:before="40"/>
      </w:pPr>
      <w:r>
        <w:rPr>
          <w:rFonts w:ascii="Arial" w:cs="Arial" w:eastAsia="Arial" w:hAnsi="Arial"/>
          <w:color w:val="1A1A2E"/>
          <w:sz w:val="22"/>
          <w:szCs w:val="22"/>
        </w:rPr>
        <w:t xml:space="preserve">Security incidents on the user's device or account not caused by the Service Provider</w:t>
      </w:r>
    </w:p>
    <w:p>
      <w:pPr>
        <w:spacing w:after="60" w:before="0"/>
      </w:pPr>
      <w:r>
        <w:t xml:space="preserve"/>
      </w:r>
    </w:p>
    <w:p>
      <w:pPr>
        <w:spacing w:after="80" w:before="60"/>
        <w:jc w:val="both"/>
      </w:pPr>
      <w:r>
        <w:rPr>
          <w:rFonts w:ascii="Arial" w:cs="Arial" w:eastAsia="Arial" w:hAnsi="Arial"/>
          <w:color w:val="1A1A2E"/>
          <w:sz w:val="22"/>
          <w:szCs w:val="22"/>
        </w:rPr>
        <w:t xml:space="preserve">The Service Provider's liability is limited to the amount paid by the user during the relevant subscription period. This limitation shall not apply to damage caused intentionally or by gross negligence, to liability for breach of contract causing harm to human life, physical integrity or health, or to liability towards data subjects under Article 82 GDPR. For free-tier users, liability is limited to the minimum extent permitted by applicable law.</w:t>
      </w:r>
    </w:p>
    <w:p>
      <w:pPr>
        <w:spacing w:after="60" w:before="0"/>
      </w:pPr>
      <w:r>
        <w:t xml:space="preserve"/>
      </w:r>
    </w:p>
    <w:p>
      <w:pPr>
        <w:shd w:fill="1B6B4A" w:val="clear"/>
        <w:spacing w:after="120" w:before="280"/>
        <w:ind w:left="120" w:right="120"/>
      </w:pPr>
      <w:r>
        <w:rPr>
          <w:rFonts w:ascii="Arial" w:cs="Arial" w:eastAsia="Arial" w:hAnsi="Arial"/>
          <w:b/>
          <w:bCs/>
          <w:color w:val="FFFFFF"/>
          <w:sz w:val="24"/>
          <w:szCs w:val="24"/>
        </w:rPr>
        <w:t xml:space="preserve">14. Modification of Terms</w:t>
      </w:r>
    </w:p>
    <w:p>
      <w:pPr>
        <w:spacing w:after="60" w:before="0"/>
      </w:pPr>
      <w:r>
        <w:t xml:space="preserve"/>
      </w:r>
    </w:p>
    <w:p>
      <w:pPr>
        <w:spacing w:after="80" w:before="60"/>
        <w:jc w:val="both"/>
      </w:pPr>
      <w:r>
        <w:rPr>
          <w:rFonts w:ascii="Arial" w:cs="Arial" w:eastAsia="Arial" w:hAnsi="Arial"/>
          <w:color w:val="1A1A2E"/>
          <w:sz w:val="22"/>
          <w:szCs w:val="22"/>
        </w:rPr>
        <w:t xml:space="preserve">The Service Provider may modify these Terms unilaterally where justified by a change in legislation, an authority or court decision, a change in the technical conditions or content of the service, or a change in the Platform Provider's terms. Users will be notified of changes at least 15 days in advance by email or in-app notification. Continued use of the application after the effective date of the modification constitutes acceptance. If the user does not accept the modification, they may cancel their subscription through the Platform Provider's system or delete their account before the effective date.</w:t>
      </w:r>
    </w:p>
    <w:p>
      <w:pPr>
        <w:spacing w:after="60" w:before="0"/>
      </w:pPr>
      <w:r>
        <w:t xml:space="preserve"/>
      </w:r>
    </w:p>
    <w:p>
      <w:pPr>
        <w:shd w:fill="1B6B4A" w:val="clear"/>
        <w:spacing w:after="120" w:before="280"/>
        <w:ind w:left="120" w:right="120"/>
      </w:pPr>
      <w:r>
        <w:rPr>
          <w:rFonts w:ascii="Arial" w:cs="Arial" w:eastAsia="Arial" w:hAnsi="Arial"/>
          <w:b/>
          <w:bCs/>
          <w:color w:val="FFFFFF"/>
          <w:sz w:val="24"/>
          <w:szCs w:val="24"/>
        </w:rPr>
        <w:t xml:space="preserve">15. Dispute Resolution and Governing Law</w:t>
      </w:r>
    </w:p>
    <w:p>
      <w:pPr>
        <w:spacing w:after="60" w:before="0"/>
      </w:pPr>
      <w:r>
        <w:t xml:space="preserve"/>
      </w:r>
    </w:p>
    <w:p>
      <w:pPr>
        <w:spacing w:after="80" w:before="60"/>
        <w:jc w:val="both"/>
      </w:pPr>
      <w:r>
        <w:rPr>
          <w:rFonts w:ascii="Arial" w:cs="Arial" w:eastAsia="Arial" w:hAnsi="Arial"/>
          <w:color w:val="1A1A2E"/>
          <w:sz w:val="22"/>
          <w:szCs w:val="22"/>
        </w:rPr>
        <w:t xml:space="preserve">These Terms and any disputes arising from them are governed by Hungarian law. The parties shall seek to resolve disputes amicably in the first instance. If this is unsuccessful, the competent Hungarian court has jurisdiction.</w:t>
      </w:r>
    </w:p>
    <w:p>
      <w:pPr>
        <w:spacing w:after="60" w:before="0"/>
      </w:pPr>
      <w:r>
        <w:t xml:space="preserve"/>
      </w:r>
    </w:p>
    <w:p>
      <w:pPr>
        <w:spacing w:after="80" w:before="60"/>
        <w:jc w:val="both"/>
      </w:pPr>
      <w:r>
        <w:rPr>
          <w:rFonts w:ascii="Arial" w:cs="Arial" w:eastAsia="Arial" w:hAnsi="Arial"/>
          <w:color w:val="1A1A2E"/>
          <w:sz w:val="22"/>
          <w:szCs w:val="22"/>
        </w:rPr>
        <w:t xml:space="preserve">Consumer redress: users may file a complaint with the Conciliation Body competent for their place of residence, or with the Consumer Protection Authority.</w:t>
      </w:r>
    </w:p>
    <w:p>
      <w:pPr>
        <w:spacing w:after="60" w:before="0"/>
      </w:pPr>
      <w:r>
        <w:t xml:space="preserve"/>
      </w:r>
    </w:p>
    <w:p>
      <w:pPr>
        <w:spacing w:after="80" w:before="60"/>
        <w:jc w:val="both"/>
      </w:pPr>
      <w:r>
        <w:rPr/>
        <w:t>In consumer disputes, users may contact the competent conciliation body or consumer protection authority of their place of residence. (The EU Online Dispute Resolution (ODR) platform was discontinued on 20 July 2025; therefore these Terms contain no ODR link.)</w:t>
      </w:r>
    </w:p>
    <w:p>
      <w:pPr>
        <w:spacing w:after="60" w:before="0"/>
      </w:pPr>
      <w:r>
        <w:t xml:space="preserve"/>
      </w:r>
    </w:p>
    <w:p>
      <w:pPr>
        <w:shd w:fill="1B6B4A" w:val="clear"/>
        <w:spacing w:after="120" w:before="280"/>
        <w:ind w:left="120" w:right="120"/>
      </w:pPr>
      <w:r>
        <w:rPr>
          <w:rFonts w:ascii="Arial" w:cs="Arial" w:eastAsia="Arial" w:hAnsi="Arial"/>
          <w:b/>
          <w:bCs/>
          <w:color w:val="FFFFFF"/>
          <w:sz w:val="24"/>
          <w:szCs w:val="24"/>
        </w:rPr>
        <w:t xml:space="preserve">16. Final Provisions and Governing Language</w:t>
      </w:r>
    </w:p>
    <w:p>
      <w:pPr>
        <w:spacing w:after="60" w:before="0"/>
      </w:pPr>
      <w:r>
        <w:t xml:space="preserve"/>
      </w:r>
    </w:p>
    <w:p>
      <w:pPr>
        <w:pStyle w:val="ListParagraph"/>
        <w:numPr>
          <w:ilvl w:val="0"/>
          <w:numId w:val="2"/>
        </w:numPr>
        <w:spacing w:after="40" w:before="40"/>
      </w:pPr>
      <w:r>
        <w:rPr>
          <w:rFonts w:ascii="Arial" w:cs="Arial" w:eastAsia="Arial" w:hAnsi="Arial"/>
          <w:color w:val="1A1A2E"/>
          <w:sz w:val="22"/>
          <w:szCs w:val="22"/>
        </w:rPr>
        <w:t xml:space="preserve">If any provision of these Terms is found invalid or unenforceable, this shall not affect the validity of the remaining provisions.</w:t>
      </w:r>
    </w:p>
    <w:p>
      <w:pPr>
        <w:pStyle w:val="ListParagraph"/>
        <w:numPr>
          <w:ilvl w:val="0"/>
          <w:numId w:val="2"/>
        </w:numPr>
        <w:spacing w:after="40" w:before="40"/>
      </w:pPr>
      <w:r>
        <w:rPr>
          <w:rFonts w:ascii="Arial" w:cs="Arial" w:eastAsia="Arial" w:hAnsi="Arial"/>
          <w:color w:val="1A1A2E"/>
          <w:sz w:val="22"/>
          <w:szCs w:val="22"/>
        </w:rPr>
        <w:t xml:space="preserve">These Terms are available in Hungarian (ASZF-001) and English (ASZF-001-EN). In case of any discrepancy between the two versions, the HUNGARIAN VERSION SHALL PREVAIL.</w:t>
      </w:r>
    </w:p>
    <w:p>
      <w:pPr>
        <w:pStyle w:val="ListParagraph"/>
        <w:numPr>
          <w:ilvl w:val="0"/>
          <w:numId w:val="2"/>
        </w:numPr>
        <w:spacing w:after="40" w:before="40"/>
      </w:pPr>
      <w:r>
        <w:rPr>
          <w:rFonts w:ascii="Arial" w:cs="Arial" w:eastAsia="Arial" w:hAnsi="Arial"/>
          <w:color w:val="1A1A2E"/>
          <w:sz w:val="22"/>
          <w:szCs w:val="22"/>
        </w:rPr>
        <w:t xml:space="preserve">The current version of these Terms is available at: https://cashleticsapp.com/legal.php?slug=aszf&amp;lang=en</w:t>
      </w:r>
    </w:p>
    <w:p>
      <w:pPr>
        <w:spacing w:after="60" w:before="0"/>
      </w:pPr>
      <w:r>
        <w:t xml:space="preserve"/>
      </w:r>
    </w:p>
    <w:tbl>
      <w:tblPr>
        <w:tblW w:type="dxa" w:w="9638"/>
        <w:tblBorders>
          <w:top w:val="single" w:color="1B6B4A" w:sz="6"/>
          <w:left w:val="single" w:color="1B6B4A" w:sz="6"/>
          <w:bottom w:val="single" w:color="1B6B4A" w:sz="6"/>
          <w:right w:val="single" w:color="1B6B4A" w:sz="6"/>
          <w:insideH w:val="single" w:color="auto" w:sz="4"/>
          <w:insideV w:val="single" w:color="auto" w:sz="4"/>
        </w:tblBorders>
      </w:tblPr>
      <w:tblGrid>
        <w:gridCol w:w="9638"/>
      </w:tblGrid>
      <w:tr>
        <w:tc>
          <w:tcPr>
            <w:tcW w:type="dxa" w:w="9638"/>
            <w:tcBorders>
              <w:top w:val="single" w:color="1B6B4A" w:sz="6"/>
              <w:left w:val="single" w:color="1B6B4A" w:sz="6"/>
              <w:bottom w:val="single" w:color="1B6B4A" w:sz="6"/>
              <w:right w:val="single" w:color="1B6B4A" w:sz="6"/>
            </w:tcBorders>
            <w:shd w:fill="E8F5F0" w:val="clear"/>
            <w:tcMar>
              <w:top w:type="dxa" w:w="120"/>
              <w:left w:type="dxa" w:w="200"/>
              <w:bottom w:type="dxa" w:w="120"/>
              <w:right w:type="dxa" w:w="200"/>
            </w:tcMar>
          </w:tcPr>
          <w:p>
            <w:pPr>
              <w:spacing w:after="80"/>
            </w:pPr>
            <w:r>
              <w:rPr>
                <w:rFonts w:ascii="Arial" w:cs="Arial" w:eastAsia="Arial" w:hAnsi="Arial"/>
                <w:b/>
                <w:bCs/>
                <w:color w:val="1B6B4A"/>
                <w:sz w:val="22"/>
                <w:szCs w:val="22"/>
              </w:rPr>
              <w:t xml:space="preserve">⚠️  GOVERNING LANGUAGE NOTICE</w:t>
            </w:r>
          </w:p>
          <w:p>
            <w:pPr>
              <w:jc w:val="both"/>
            </w:pPr>
            <w:r>
              <w:rPr>
                <w:rFonts w:ascii="Arial" w:cs="Arial" w:eastAsia="Arial" w:hAnsi="Arial"/>
                <w:color w:val="1A1A2E"/>
                <w:sz w:val="20"/>
                <w:szCs w:val="20"/>
              </w:rPr>
              <w:t xml:space="preserve">This document is an English translation of the Hungarian Terms of Use (ASZF-001). In case of any discrepancy between the Hungarian and English versions, the Hungarian version shall prevail.</w:t>
            </w:r>
          </w:p>
          <w:p>
            <w:pPr>
              <w:spacing w:before="60"/>
            </w:pPr>
            <w:r>
              <w:rPr>
                <w:rFonts w:ascii="Arial" w:cs="Arial" w:eastAsia="Arial" w:hAnsi="Arial"/>
                <w:i/>
                <w:iCs/>
                <w:color w:val="1B6B4A"/>
                <w:sz w:val="20"/>
                <w:szCs w:val="20"/>
              </w:rPr>
              <w:t xml:space="preserve">Hungarian version: https://cashleticsapp.com/legal.php?slug=aszf&amp;lang=hu</w:t>
            </w:r>
          </w:p>
        </w:tc>
      </w:tr>
    </w:tbl>
    <w:p>
      <w:pPr>
        <w:spacing w:after="60" w:before="0"/>
      </w:pPr>
      <w:r>
        <w:t xml:space="preserve"/>
      </w:r>
    </w:p>
    <w:p>
      <w:pPr>
        <w:shd w:fill="1B6B4A" w:val="clear"/>
        <w:spacing w:after="120" w:before="280"/>
        <w:ind w:left="120" w:right="120"/>
      </w:pPr>
      <w:r>
        <w:rPr>
          <w:rFonts w:ascii="Arial" w:cs="Arial" w:eastAsia="Arial" w:hAnsi="Arial"/>
          <w:b/>
          <w:bCs/>
          <w:color w:val="FFFFFF"/>
          <w:sz w:val="24"/>
          <w:szCs w:val="24"/>
        </w:rPr>
        <w:t xml:space="preserve">Version History &amp; Change Log</w:t>
      </w:r>
    </w:p>
    <w:p>
      <w:pPr>
        <w:spacing w:after="60" w:before="0"/>
      </w:pPr>
      <w:r>
        <w:t xml:space="preserve"/>
      </w:r>
    </w:p>
    <w:p>
      <w:pPr>
        <w:spacing w:after="80" w:before="220"/>
      </w:pPr>
      <w:r>
        <w:rPr>
          <w:rFonts w:ascii="Arial" w:cs="Arial" w:eastAsia="Arial" w:hAnsi="Arial"/>
          <w:b/>
          <w:bCs/>
          <w:color w:val="1B6B4A"/>
          <w:sz w:val="22"/>
          <w:szCs w:val="22"/>
        </w:rPr>
        <w:t xml:space="preserve">A. Version history</w:t>
      </w:r>
    </w:p>
    <w:tbl>
      <w:tblPr>
        <w:tblW w:type="dxa" w:w="9638"/>
        <w:tblBorders>
          <w:top w:val="single" w:color="C8E6DA" w:sz="4"/>
          <w:left w:val="single" w:color="C8E6DA" w:sz="4"/>
          <w:bottom w:val="single" w:color="C8E6DA" w:sz="4"/>
          <w:right w:val="single" w:color="C8E6DA" w:sz="4"/>
          <w:insideH w:val="single" w:color="auto" w:sz="4"/>
          <w:insideV w:val="single" w:color="auto" w:sz="4"/>
        </w:tblBorders>
      </w:tblPr>
      <w:tblGrid>
        <w:gridCol w:w="1200"/>
        <w:gridCol w:w="1800"/>
        <w:gridCol w:w="4638"/>
        <w:gridCol w:w="2000"/>
      </w:tblGrid>
      <w:tr>
        <w:trPr>
          <w:tblHeader/>
        </w:trPr>
        <w:tc>
          <w:tcPr>
            <w:tcW w:type="dxa" w:w="12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Version</w:t>
            </w:r>
          </w:p>
        </w:tc>
        <w:tc>
          <w:tcPr>
            <w:tcW w:type="dxa" w:w="18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Date</w:t>
            </w:r>
          </w:p>
        </w:tc>
        <w:tc>
          <w:tcPr>
            <w:tcW w:type="dxa" w:w="4638"/>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Change</w:t>
            </w:r>
          </w:p>
        </w:tc>
        <w:tc>
          <w:tcPr>
            <w:tcW w:type="dxa" w:w="20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Approved by</w:t>
            </w:r>
          </w:p>
        </w:tc>
      </w:tr>
      <w:tr>
        <w:tc>
          <w:tcPr>
            <w:tcW w:type="dxa" w:w="1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t>v1.5</w:t>
            </w:r>
          </w:p>
        </w:tc>
        <w:tc>
          <w:tcPr>
            <w:tcW w:type="dxa" w:w="1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2026</w:t>
            </w:r>
          </w:p>
        </w:tc>
        <w:tc>
          <w:tcPr>
            <w:tcW w:type="dxa" w:w="46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Initial release — final</w:t>
            </w:r>
          </w:p>
        </w:tc>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Dr. Crespo Zsuzsanna</w:t>
            </w:r>
          </w:p>
        </w:tc>
      </w:tr>
      <w:tr>
        <w:tc>
          <w:tcPr>
            <w:tcW w:type="dxa" w:w="1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t>v1.7</w:t>
            </w:r>
          </w:p>
        </w:tc>
        <w:tc>
          <w:tcPr>
            <w:tcW w:type="dxa" w:w="1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1 August 2026</w:t>
            </w:r>
          </w:p>
        </w:tc>
        <w:tc>
          <w:tcPr>
            <w:tcW w:type="dxa" w:w="46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Sybell registered address corrected (DPA-001); DPA-002 clause 3.6 breach notification narrowed + non-excludable liability categories; DPA-003 liability cap (12 months’ fees, min. HUF 500,000); publication date updated</w:t>
            </w:r>
          </w:p>
        </w:tc>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Dr. Crespo Zsuzsanna</w:t>
            </w:r>
          </w:p>
        </w:tc>
      </w:tr>
      <w:tr>
        <w:tc>
          <w:tcPr>
            <w:tcW w:type="dxa" w:w="1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t>v1.8</w:t>
            </w:r>
          </w:p>
        </w:tc>
        <w:tc>
          <w:tcPr>
            <w:tcW w:type="dxa" w:w="1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1 August 2026</w:t>
            </w:r>
          </w:p>
        </w:tc>
        <w:tc>
          <w:tcPr>
            <w:tcW w:type="dxa" w:w="46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Legal review approved (DPIA-001, LIA-001, PR-001; DPA-002 clause 3.6 + liability framework; DPA-003 liability cap). Signatures pending.</w:t>
            </w:r>
          </w:p>
        </w:tc>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Dr. Crespo Zsuzsanna</w:t>
            </w:r>
          </w:p>
        </w:tc>
      </w:tr>
      <w:tr>
        <w:tc>
          <w:tcPr>
            <w:tcW w:type="dxa" w:w="1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t xml:space="preserve">v1.9</w:t>
            </w:r>
          </w:p>
        </w:tc>
        <w:tc>
          <w:tcPr>
            <w:tcW w:type="dxa" w:w="1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1 August 2026</w:t>
            </w:r>
          </w:p>
        </w:tc>
        <w:tc>
          <w:tcPr>
            <w:tcW w:type="dxa" w:w="46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PiggyRun mini-game, Piggy Coin, entry ticket types (standard/silver/gold) and random reward packages (loot boxes) regulated; loot box gambling-law classification approved; gamification data elements extended (AT-001, ROPA-001); DPA-001 AdMob/Firebase acceptance dates; DPIA-001 I4 closed.</w:t>
            </w:r>
          </w:p>
        </w:tc>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Dr. Crespo Zsuzsanna</w:t>
            </w:r>
          </w:p>
        </w:tc>
      </w:tr>
      <w:tr>
        <w:tc>
          <w:tcPr>
            <w:tcW w:type="dxa" w:w="1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t xml:space="preserve">v1.9.1</w:t>
            </w:r>
          </w:p>
        </w:tc>
        <w:tc>
          <w:tcPr>
            <w:tcW w:type="dxa" w:w="1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1 August 2026</w:t>
            </w:r>
          </w:p>
        </w:tc>
        <w:tc>
          <w:tcPr>
            <w:tcW w:type="dxa" w:w="46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Sybell (DPA-002): instead of signing the draft agreement, Section 11.1 of Sybell’s GTC (20 July 2026, Art. 28(3) and (9) GDPR) governs the processing; references updated; GTC archived.</w:t>
            </w:r>
          </w:p>
        </w:tc>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Dr. Crespo Zsuzsanna</w:t>
            </w:r>
          </w:p>
        </w:tc>
      </w:tr>
      <w:tr>
        <w:tc>
          <w:tcPr>
            <w:tcW w:type="dxa" w:w="1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t xml:space="preserve">v1.10</w:t>
            </w:r>
          </w:p>
        </w:tc>
        <w:tc>
          <w:tcPr>
            <w:tcW w:type="dxa" w:w="1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1 August 2026</w:t>
            </w:r>
          </w:p>
        </w:tc>
        <w:tc>
          <w:tcPr>
            <w:tcW w:type="dxa" w:w="46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DPA-003 (Balázs Bánki): implementation of the developer comments — narrowing of the developer role and data categories, incident notification under Art. 33(2) GDPR, notification of unlawful instructions under Art. 28(3) GDPR, clarification of third-country transfers, deletion of the minimum liability floor. Addition of administrator feature switches and audit log (ROPA-001 row 17, 12-month retention); clarification of the admin interface access matrix (SZ-001 2.1).</w:t>
            </w:r>
          </w:p>
        </w:tc>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[külön nem került jóváhagyásra — a v1.10.1 váltotta fel]</w:t>
            </w:r>
          </w:p>
        </w:tc>
      </w:tr>
      <w:tr>
        <w:tc>
          <w:tcPr>
            <w:tcW w:type="dxa" w:w="1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t xml:space="preserve">v1.10.1</w:t>
            </w:r>
          </w:p>
        </w:tc>
        <w:tc>
          <w:tcPr>
            <w:tcW w:type="dxa" w:w="1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6 August 2026 · suppl. 4 September 2026 and 5 September 2026</w:t>
            </w:r>
          </w:p>
        </w:tc>
        <w:tc>
          <w:tcPr>
            <w:tcW w:type="dxa" w:w="46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EN terminology alignment (Article, Data Controller); implementation of the legal review decisions; data categories of the four undocumented collections in Section 4 of AT-001. Supplement of 4 September 2026: placeholder instead of a pre-filled signature date in unsigned copies (14 documents); GDPR Article 12(3) “without undue delay” wording implemented (AT-001 HU/EN, EJ-001); in DPIA-001 the retention of health data after withdrawal changed from 7 to 30 days, aligned with HE-001; corrected EU-US Data Privacy Framework reference in the English version of BH-001; in DPA-002 the processing relationship recorded as based on Section 11.1 of the Sybell GTC and the Controller's written instruction instead of a signature; column misalignment corrected in the Article 28 record of DPA-001. In addition: in ROPA-001 and ATJ-001 the number of recorded processing activities corrected to the actual 25 (previously 17 and 16 respectively); in the consent examples of HJ-001 the reference to the never-published AT-001 v1.8.3 corrected to the published v1.8. Implementation of the legal review decisions (4 September 2026): the assistance obligation under GDPR Article 28(3)(f) added as clause 3.7 of DPA-002 and clause 3.10 of DPA-003; in the Play Data Safety table of GPS-001, transfers to Firebase Analytics are no longer declared as sharing — consistent with the document's own conceptual distinction — and health and fitness data are no longer declared as required; Firebase Analytics (L1) and the aggregated analysis built on it (L3) removed from the scope of LIA-001, as their legal basis is consent, with the exclusion table extended accordingly; the incorrect reference to the Hungarian Infotv. removed from the age-limit reasoning of KK-001, together with the identical wording in GPS-001 and XHV-001; the response deadline in EJ-001 aligned with the public undertaking in AT-001 (60 days in total at most); an explanatory note added to the 30-day undertaking under Article 12(3); the Hungarian version of BH-001 supplemented with the description of third-country transfers; AT-001 now states the storage location of Cloud Firestore as the eur3 European multi-region, consistent with ROPA-001; the developer added to the list of processors in AT-001, and the instruction clause of DPA-003 extended with the transfer wording; in six places the term “anonymised” refined to “pseudonymised”. Based on the Controller's statement of 4 September 2026: two-factor authentication for the admin interface is recorded with its actual completion date (1 September 2026) instead of an expired deadline; the emergency shutdown access issued in the developer's name has not yet been activated, therefore the access matrix of SZ-001 and the transitional provision in clause 3.9.8 of DPA-003 record the current and the final state separately, listing the data actually accessible through that role; the revocation of the earlier project-level (Editor) permission is recorded. The data subject branch of INC-001 received the exemption grounds under GDPR Article 34(3), the retention period of ROPA item 06 was aligned with AT-001, an expired external reference was replaced, and header-row repetition was enabled for two multi-page tables in SZ-001. The duplicate logo on the first page — already present in the header — has been removed from the document body (29 documents); the header logo is unchanged and no document text was altered. Supplement of 5 September 2026: non-excludable liability categories added to Section 13; objective grounds for unilateral modification and the user’s right to refuse added to Section 14; the package-level legal approval recorded in the version table. Supplement of 6 September 2026: based on the Controller's reply of 5 September 2026, the effective date of the package was changed from 1 August 2026 to 1 October 2026 (79 places; the applicability wording of DPA-003, the approval dates in D2-UGY and the dates in the version tables were deliberately left unchanged). Supplement of 16 September 2026 (legal reviewer's decision 1 of 15 September 2026, option „B”): new Section 5.3 — consumer information on the right of withdrawal and termination (Government Decree 45/2014 (II. 26.), Sections 20, 22(1), 23(1), 29(1)(m) and Annex 2), in the Hungarian and English versions. Supplement of 24 September 2026: the effective date of the package changed from 1 October 2026 to 12 OCTOBER 2026. Reason: under Section 14 of ASZF-001 and Section 9 of AT-001, users must be notified of changes at least 15 days before the effective date; publication and notification took place on 27 September 2026 (instead of the previously planned 25 September). The signature date of KK-001 and PR-001 is the day of publication.</w:t>
            </w:r>
          </w:p>
        </w:tc>
        <w:tc>
          <w:tcPr>
            <w:tcW w:type="dxa" w:w="20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Dr. Crespo Zsuzsanna</w:t>
            </w:r>
          </w:p>
        </w:tc>
      </w:tr>
    </w:tbl>
    <w:p>
      <w:pPr>
        <w:spacing w:after="60" w:before="0"/>
      </w:pPr>
      <w:r>
        <w:t xml:space="preserve"/>
      </w:r>
    </w:p>
    <w:p>
      <w:pPr>
        <w:spacing w:after="80" w:before="220"/>
      </w:pPr>
      <w:r>
        <w:rPr>
          <w:rFonts w:ascii="Arial" w:cs="Arial" w:eastAsia="Arial" w:hAnsi="Arial"/>
          <w:b/>
          <w:bCs/>
          <w:color w:val="1B6B4A"/>
          <w:sz w:val="22"/>
          <w:szCs w:val="22"/>
        </w:rPr>
        <w:t xml:space="preserve">B. Changes from the March 2026 draft (synchronized with ASZF-001 HU)</w:t>
      </w:r>
    </w:p>
    <w:tbl>
      <w:tblPr>
        <w:tblW w:type="dxa" w:w="9638"/>
        <w:tblBorders>
          <w:top w:val="single" w:color="C8E6DA" w:sz="4"/>
          <w:left w:val="single" w:color="C8E6DA" w:sz="4"/>
          <w:bottom w:val="single" w:color="C8E6DA" w:sz="4"/>
          <w:right w:val="single" w:color="C8E6DA" w:sz="4"/>
          <w:insideH w:val="single" w:color="auto" w:sz="4"/>
          <w:insideV w:val="single" w:color="auto" w:sz="4"/>
        </w:tblBorders>
      </w:tblPr>
      <w:tblGrid>
        <w:gridCol w:w="1600"/>
        <w:gridCol w:w="2238"/>
        <w:gridCol w:w="3200"/>
        <w:gridCol w:w="2600"/>
      </w:tblGrid>
      <w:tr>
        <w:trPr>
          <w:tblHeader/>
        </w:trPr>
        <w:tc>
          <w:tcPr>
            <w:tcW w:type="dxa" w:w="16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Item</w:t>
            </w:r>
          </w:p>
        </w:tc>
        <w:tc>
          <w:tcPr>
            <w:tcW w:type="dxa" w:w="2238"/>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Draft</w:t>
            </w:r>
          </w:p>
        </w:tc>
        <w:tc>
          <w:tcPr>
            <w:tcW w:type="dxa" w:w="32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Final version</w:t>
            </w:r>
          </w:p>
        </w:tc>
        <w:tc>
          <w:tcPr>
            <w:tcW w:type="dxa" w:w="26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Reason</w:t>
            </w:r>
          </w:p>
        </w:tc>
      </w:tr>
      <w:tr>
        <w:tc>
          <w:tcPr>
            <w:tcW w:type="dxa" w:w="16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XP/CP legal status</w:t>
            </w:r>
          </w:p>
        </w:tc>
        <w:tc>
          <w:tcPr>
            <w:tcW w:type="dxa" w:w="22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Missing</w:t>
            </w:r>
          </w:p>
        </w:tc>
        <w:tc>
          <w:tcPr>
            <w:tcW w:type="dxa" w:w="3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Section 8 — explicit</w:t>
            </w:r>
          </w:p>
        </w:tc>
        <w:tc>
          <w:tcPr>
            <w:tcW w:type="dxa" w:w="26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GDPR / consumer protection</w:t>
            </w:r>
          </w:p>
        </w:tc>
      </w:tr>
      <w:tr>
        <w:tc>
          <w:tcPr>
            <w:tcW w:type="dxa" w:w="16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AdMob</w:t>
            </w:r>
          </w:p>
        </w:tc>
        <w:tc>
          <w:tcPr>
            <w:tcW w:type="dxa" w:w="22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Missing</w:t>
            </w:r>
          </w:p>
        </w:tc>
        <w:tc>
          <w:tcPr>
            <w:tcW w:type="dxa" w:w="32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Section 9</w:t>
            </w:r>
          </w:p>
        </w:tc>
        <w:tc>
          <w:tcPr>
            <w:tcW w:type="dxa" w:w="26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Play Store policy</w:t>
            </w:r>
          </w:p>
        </w:tc>
      </w:tr>
      <w:tr>
        <w:tc>
          <w:tcPr>
            <w:tcW w:type="dxa" w:w="16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PRO ad-free</w:t>
            </w:r>
          </w:p>
        </w:tc>
        <w:tc>
          <w:tcPr>
            <w:tcW w:type="dxa" w:w="22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Missing</w:t>
            </w:r>
          </w:p>
        </w:tc>
        <w:tc>
          <w:tcPr>
            <w:tcW w:type="dxa" w:w="3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Section 9</w:t>
            </w:r>
          </w:p>
        </w:tc>
        <w:tc>
          <w:tcPr>
            <w:tcW w:type="dxa" w:w="26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ToU requirement</w:t>
            </w:r>
          </w:p>
        </w:tc>
      </w:tr>
      <w:tr>
        <w:tc>
          <w:tcPr>
            <w:tcW w:type="dxa" w:w="16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Leaderboard</w:t>
            </w:r>
          </w:p>
        </w:tc>
        <w:tc>
          <w:tcPr>
            <w:tcW w:type="dxa" w:w="22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Missing</w:t>
            </w:r>
          </w:p>
        </w:tc>
        <w:tc>
          <w:tcPr>
            <w:tcW w:type="dxa" w:w="32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Section 10</w:t>
            </w:r>
          </w:p>
        </w:tc>
        <w:tc>
          <w:tcPr>
            <w:tcW w:type="dxa" w:w="26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Art. 6(1)(a)</w:t>
            </w:r>
          </w:p>
        </w:tc>
      </w:tr>
      <w:tr>
        <w:tc>
          <w:tcPr>
            <w:tcW w:type="dxa" w:w="16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Age restriction</w:t>
            </w:r>
          </w:p>
        </w:tc>
        <w:tc>
          <w:tcPr>
            <w:tcW w:type="dxa" w:w="22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Missing</w:t>
            </w:r>
          </w:p>
        </w:tc>
        <w:tc>
          <w:tcPr>
            <w:tcW w:type="dxa" w:w="3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Section 6 — GDPR Art. 8</w:t>
            </w:r>
          </w:p>
        </w:tc>
        <w:tc>
          <w:tcPr>
            <w:tcW w:type="dxa" w:w="26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Play Families policy</w:t>
            </w:r>
          </w:p>
        </w:tc>
      </w:tr>
      <w:tr>
        <w:tc>
          <w:tcPr>
            <w:tcW w:type="dxa" w:w="16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iOS cancellation</w:t>
            </w:r>
          </w:p>
        </w:tc>
        <w:tc>
          <w:tcPr>
            <w:tcW w:type="dxa" w:w="22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Missing</w:t>
            </w:r>
          </w:p>
        </w:tc>
        <w:tc>
          <w:tcPr>
            <w:tcW w:type="dxa" w:w="32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t>iOS launches later; public placeholder removed</w:t>
            </w:r>
          </w:p>
        </w:tc>
        <w:tc>
          <w:tcPr>
            <w:tcW w:type="dxa" w:w="26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iOS launches later</w:t>
            </w:r>
          </w:p>
        </w:tc>
      </w:tr>
      <w:tr>
        <w:tc>
          <w:tcPr>
            <w:tcW w:type="dxa" w:w="16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Governing language</w:t>
            </w:r>
          </w:p>
        </w:tc>
        <w:tc>
          <w:tcPr>
            <w:tcW w:type="dxa" w:w="22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Missing</w:t>
            </w:r>
          </w:p>
        </w:tc>
        <w:tc>
          <w:tcPr>
            <w:tcW w:type="dxa" w:w="3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Cover + Section 16</w:t>
            </w:r>
          </w:p>
        </w:tc>
        <w:tc>
          <w:tcPr>
            <w:tcW w:type="dxa" w:w="26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HU version prevails</w:t>
            </w:r>
          </w:p>
        </w:tc>
      </w:tr>
    </w:tbl>
    <w:p>
      <w:pPr>
        <w:spacing w:after="60" w:before="0"/>
      </w:pPr>
      <w:r>
        <w:t xml:space="preserve"/>
      </w:r>
    </w:p>
    <w:p>
      <w:pPr>
        <w:spacing w:after="80" w:before="220"/>
      </w:pPr>
      <w:r>
        <w:rPr>
          <w:rFonts w:ascii="Arial" w:cs="Arial" w:eastAsia="Arial" w:hAnsi="Arial"/>
          <w:b/>
          <w:bCs/>
          <w:color w:val="1B6B4A"/>
          <w:sz w:val="22"/>
          <w:szCs w:val="22"/>
        </w:rPr>
        <w:t xml:space="preserve">C. Signature block</w:t>
      </w:r>
    </w:p>
    <w:tbl>
      <w:tblPr>
        <w:tblW w:type="dxa" w:w="9638"/>
        <w:tblBorders>
          <w:top w:val="single" w:color="C8E6DA" w:sz="4"/>
          <w:left w:val="single" w:color="C8E6DA" w:sz="4"/>
          <w:bottom w:val="single" w:color="C8E6DA" w:sz="4"/>
          <w:right w:val="single" w:color="C8E6DA" w:sz="4"/>
          <w:insideH w:val="single" w:color="auto" w:sz="4"/>
          <w:insideV w:val="single" w:color="auto" w:sz="4"/>
        </w:tblBorders>
      </w:tblPr>
      <w:tblGrid>
        <w:gridCol w:w="2400"/>
        <w:gridCol w:w="2800"/>
        <w:gridCol w:w="2200"/>
        <w:gridCol w:w="2238"/>
      </w:tblGrid>
      <w:tr>
        <w:trPr>
          <w:tblHeader/>
        </w:trPr>
        <w:tc>
          <w:tcPr>
            <w:tcW w:type="dxa" w:w="24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Role</w:t>
            </w:r>
          </w:p>
        </w:tc>
        <w:tc>
          <w:tcPr>
            <w:tcW w:type="dxa" w:w="28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Name</w:t>
            </w:r>
          </w:p>
        </w:tc>
        <w:tc>
          <w:tcPr>
            <w:tcW w:type="dxa" w:w="2200"/>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Date</w:t>
            </w:r>
          </w:p>
        </w:tc>
        <w:tc>
          <w:tcPr>
            <w:tcW w:type="dxa" w:w="2238"/>
            <w:tcBorders>
              <w:top w:val="single" w:color="C8E6DA" w:sz="4"/>
              <w:left w:val="single" w:color="C8E6DA" w:sz="4"/>
              <w:bottom w:val="single" w:color="C8E6DA" w:sz="4"/>
              <w:right w:val="single" w:color="C8E6DA" w:sz="4"/>
            </w:tcBorders>
            <w:shd w:fill="E8F5F0" w:val="clear"/>
            <w:tcMar>
              <w:top w:type="dxa" w:w="80"/>
              <w:left w:type="dxa" w:w="120"/>
              <w:bottom w:type="dxa" w:w="80"/>
              <w:right w:type="dxa" w:w="120"/>
            </w:tcMar>
          </w:tcPr>
          <w:p>
            <w:r>
              <w:rPr>
                <w:rFonts w:ascii="Arial" w:cs="Arial" w:eastAsia="Arial" w:hAnsi="Arial"/>
                <w:b/>
                <w:bCs/>
                <w:color w:val="1A1A2E"/>
                <w:sz w:val="20"/>
                <w:szCs w:val="20"/>
              </w:rPr>
              <w:t xml:space="preserve">Signature</w:t>
            </w:r>
          </w:p>
        </w:tc>
      </w:tr>
      <w:tr>
        <w:tc>
          <w:tcPr>
            <w:tcW w:type="dxa" w:w="24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Prepared by</w:t>
            </w:r>
          </w:p>
        </w:tc>
        <w:tc>
          <w:tcPr>
            <w:tcW w:type="dxa" w:w="28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Dr. Crespo Zsuzsanna</w:t>
            </w:r>
          </w:p>
        </w:tc>
        <w:tc>
          <w:tcPr>
            <w:tcW w:type="dxa" w:w="2200"/>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
            </w:r>
          </w:p>
        </w:tc>
        <w:tc>
          <w:tcPr>
            <w:tcW w:type="dxa" w:w="2238"/>
            <w:tcBorders>
              <w:top w:val="single" w:color="C8E6DA" w:sz="4"/>
              <w:left w:val="single" w:color="C8E6DA" w:sz="4"/>
              <w:bottom w:val="single" w:color="C8E6DA" w:sz="4"/>
              <w:right w:val="single" w:color="C8E6DA" w:sz="4"/>
            </w:tcBorders>
            <w:shd w:fill="FFFFFF" w:val="clear"/>
            <w:tcMar>
              <w:top w:type="dxa" w:w="80"/>
              <w:left w:type="dxa" w:w="120"/>
              <w:bottom w:type="dxa" w:w="80"/>
              <w:right w:type="dxa" w:w="120"/>
            </w:tcMar>
          </w:tcPr>
          <w:p>
            <w:r>
              <w:rPr>
                <w:rFonts w:ascii="Arial" w:cs="Arial" w:eastAsia="Arial" w:hAnsi="Arial"/>
                <w:color w:val="1A1A2E"/>
                <w:sz w:val="20"/>
                <w:szCs w:val="20"/>
              </w:rPr>
              <w:t xml:space="preserve"/>
            </w:r>
          </w:p>
        </w:tc>
      </w:tr>
      <w:tr>
        <w:tc>
          <w:tcPr>
            <w:tcW w:type="dxa" w:w="24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Received / approved by</w:t>
            </w:r>
          </w:p>
        </w:tc>
        <w:tc>
          <w:tcPr>
            <w:tcW w:type="dxa" w:w="28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Mózer Ferenc</w:t>
            </w:r>
          </w:p>
        </w:tc>
        <w:tc>
          <w:tcPr>
            <w:tcW w:type="dxa" w:w="2200"/>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
            </w:r>
          </w:p>
        </w:tc>
        <w:tc>
          <w:tcPr>
            <w:tcW w:type="dxa" w:w="2238"/>
            <w:tcBorders>
              <w:top w:val="single" w:color="C8E6DA" w:sz="4"/>
              <w:left w:val="single" w:color="C8E6DA" w:sz="4"/>
              <w:bottom w:val="single" w:color="C8E6DA" w:sz="4"/>
              <w:right w:val="single" w:color="C8E6DA" w:sz="4"/>
            </w:tcBorders>
            <w:shd w:fill="F7FBF9" w:val="clear"/>
            <w:tcMar>
              <w:top w:type="dxa" w:w="80"/>
              <w:left w:type="dxa" w:w="120"/>
              <w:bottom w:type="dxa" w:w="80"/>
              <w:right w:type="dxa" w:w="120"/>
            </w:tcMar>
          </w:tcPr>
          <w:p>
            <w:r>
              <w:rPr>
                <w:rFonts w:ascii="Arial" w:cs="Arial" w:eastAsia="Arial" w:hAnsi="Arial"/>
                <w:color w:val="1A1A2E"/>
                <w:sz w:val="20"/>
                <w:szCs w:val="20"/>
              </w:rPr>
              <w:t xml:space="preserve"/>
            </w:r>
          </w:p>
        </w:tc>
      </w:tr>
    </w:tbl>
    <w:p>
      <w:pPr>
        <w:spacing w:after="60" w:before="0"/>
      </w:pPr>
      <w:r>
        <w:t xml:space="preserve"/>
      </w:r>
    </w:p>
    <w:p>
      <w:pPr>
        <w:spacing w:after="80" w:before="60"/>
        <w:jc w:val="both"/>
      </w:pPr>
      <w:r>
        <w:rPr/>
        <w:t>Next review: 1 August 2027</w:t>
      </w:r>
    </w:p>
    <w:p>
      <w:r>
        <w:rPr>
          <w:b/>
        </w:rPr>
        <w:t>v1.5a supplement — CP balances:</w:t>
      </w:r>
    </w:p>
    <w:p>
      <w:r>
        <w:rPr/>
        <w:t>Cashletics uses two CP balances: freeCp (free earned CP) and purchasedCp (CP purchased through Google Play). Purchased CP may be used for in-app CP features, but it cannot be used to redeem prize-draw entry tickets. Entry tickets can be redeemed only from freeCp.</w:t>
      </w:r>
    </w:p>
    <w:sectPr>
      <w:headerReference w:type="default" r:id="rId7"/>
      <w:footerReference w:type="default" r:id="rId8"/>
      <w:headerReference w:type="first" r:id="rId11"/>
      <w:footerReference w:type="first" r:id="rId12"/>
      <w:headerReference w:type="even" r:id="rId13"/>
      <w:footerReference w:type="even" r:id="rId14"/>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8E6DA" w:sz="4" w:space="4"/>
      </w:pBdr>
      <w:tabs>
        <w:tab w:val="right" w:pos="9638"/>
      </w:tabs>
      <w:spacing w:before="80"/>
    </w:pPr>
    <w:r>
      <w:t>ASZF-001-EN | v1.10.1 | Effective: 12 October 2026 | Cashletics</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B6B4A" w:sz="8" w:space="4"/>
      </w:pBdr>
      <w:tabs>
        <w:tab w:val="center" w:pos="4819"/>
        <w:tab w:val="right" w:pos="9638"/>
      </w:tabs>
      <w:spacing w:after="80"/>
    </w:pPr>
    <w:r>
      <w:drawing>
        <wp:inline distT="0" distB="0" distL="0" distR="0">
          <wp:extent cx="1238250" cy="400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400050"/>
                  </a:xfrm>
                  <a:prstGeom prst="rect">
                    <a:avLst/>
                  </a:prstGeom>
                </pic:spPr>
              </pic:pic>
            </a:graphicData>
          </a:graphic>
        </wp:inline>
      </w:drawing>
    </w:r>
    <w:r>
      <w:rPr>
        <w:rFonts w:ascii="Arial" w:cs="Arial" w:eastAsia="Arial" w:hAnsi="Arial"/>
        <w:color w:val="666666"/>
        <w:sz w:val="18"/>
        <w:szCs w:val="18"/>
      </w:rPr>
      <w:t xml:space="preserve">		Terms of Use	ASZF-001-EN</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5ea643938b6e759f2d65543122dc109b20ed843f.jpg"/><Relationship Id="rId10" Type="http://schemas.openxmlformats.org/officeDocument/2006/relationships/fontTable" Target="fontTable.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0" Type="http://schemas.openxmlformats.org/officeDocument/2006/relationships/image" Target="media/5ea643938b6e759f2d65543122dc109b20ed843f.jp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2026-05-17T08:13:20.821Z</dcterms:created>
  <dcterms:modified xsi:type="dcterms:W3CDTF">2026-05-17T08:13:20.835Z</dcterms:modified>
</cp:coreProperties>
</file>

<file path=docProps/custom.xml><?xml version="1.0" encoding="utf-8"?>
<Properties xmlns="http://schemas.openxmlformats.org/officeDocument/2006/custom-properties" xmlns:vt="http://schemas.openxmlformats.org/officeDocument/2006/docPropsVTypes"/>
</file>