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caps/>
          <w:color w:val="1B6B4A"/>
          <w:sz w:val="18"/>
          <w:szCs w:val="18"/>
        </w:rPr>
        <w:t xml:space="preserve">B blokk · Felhasználók felé, kötelező</w:t>
      </w:r>
    </w:p>
    <w:p>
      <w:pPr>
        <w:spacing w:after="80"/>
      </w:pPr>
      <w:r>
        <w:rPr>
          <w:rFonts w:ascii="Arial" w:cs="Arial" w:eastAsia="Arial" w:hAnsi="Arial"/>
          <w:b/>
          <w:bCs/>
          <w:color w:val="1A1A2E"/>
          <w:sz w:val="36"/>
          <w:szCs w:val="36"/>
        </w:rPr>
        <w:t xml:space="preserve">Általános Szerződési Feltételek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666666"/>
          <w:sz w:val="20"/>
          <w:szCs w:val="20"/>
        </w:rPr>
        <w:t xml:space="preserve">Cashletics mobilalkalmazás — Magyar nyelvű változat</w:t>
      </w:r>
    </w:p>
    <w:p>
      <w:pPr>
        <w:spacing w:after="400"/>
      </w:pPr>
      <w:r>
        <w:rPr>
          <w:rFonts w:ascii="Courier New" w:cs="Courier New" w:eastAsia="Courier New" w:hAnsi="Courier New"/>
          <w:color w:val="666666"/>
          <w:sz w:val="20"/>
          <w:szCs w:val="20"/>
        </w:rPr>
        <w:t xml:space="preserve">ÁSZF-001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Adatkezelő / Szolgáltató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 egyéni vállalkozó
6044 Kecskemét, Hetény-Belsőnyír 268/2.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Hatálybalépés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2026. október 12.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 | zsuzsanna@crespo.hu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Irányadó nyelv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Magyar (az EN verzió eltérése esetén ez irányadó)</w:t>
            </w:r>
          </w:p>
        </w:tc>
      </w:tr>
    </w:tbl>
    <w:p>
      <w:pPr>
        <w:spacing w:after="0"/>
      </w:pPr>
      <w:r>
        <w:br w:type="pag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Bevezető és a feltételek elfogadása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Jelen Általános Szerződési Feltételek (a továbbiakban: ÁSZF) a Cashletics mobilalkalmazás és a kapcsolódó szolgáltatások használatának szabályait rögzítik.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az alkalmazás letöltésével, regisztrációjával, illetve használatával elfogadja a jelen ÁSZF-et, az Adatkezelési Tájékoztatót (AT-001), valamint az alkalmazás egyéb ide vonatkozó szabályzatait.</w:t>
      </w:r>
    </w:p>
    <w:p>
      <w:pPr>
        <w:spacing w:after="80" w:before="60"/>
        <w:jc w:val="both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A Cashletics személyes pénzügyi nyilvántartást, megtakarítási célok kezelését, napi aktivitás követését és játékosított motivációt támogató alkalmazás.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 NEM minősül banknak, pénzügyi intézménynek, befektetési tanácsadónak, könyvelőnek vagy adótanácsadónak. A felhasználó az alkalmazásban rögzített adatok és kimutatások alapján hozott döntéseiért kizárólag maga felel.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1. Szolgáltató adatai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Szolgáltató neve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Gazdálkodási forma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Egyéni vállalkozó (EV)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Székhely / levelezési cím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6044 Kecskemét, Hetény-Belsőnyír 268/2.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EV nyilvántartási szám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58145155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Adószám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41905517-1-23</w:t>
            </w:r>
            <w:r>
              <w:rPr/>
              <w:t xml:space="preserve"> | Közösségi adószám: HU41905517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Kapcsolattartó / support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support@cashleticsapp.com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Adatvédelmi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privacy@cashleticsapp.com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Jogi e-mail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legal@cashleticsapp.com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Support telefon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+36 30 728 4422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Honlap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https://cashleticsapp.com/legal.php</w:t>
            </w:r>
          </w:p>
        </w:tc>
      </w:tr>
      <w:tr>
        <w:tc>
          <w:tcPr>
            <w:tcW w:type="dxa" w:w="3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Ügyfélszolgálat válaszadás</w:t>
            </w:r>
          </w:p>
        </w:tc>
        <w:tc>
          <w:tcPr>
            <w:tcW w:type="dxa" w:w="64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30 napon belül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2. Fogalmak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600"/>
        <w:gridCol w:w="7038"/>
      </w:tblGrid>
      <w:tr>
        <w:trPr>
          <w:tblHeader/>
        </w:trP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Fogalom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Meghatározás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Alkalmazás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Cashletics mobilalkalmazás, frissítései, kapcsolódó webes oldalak (cashleticsapp.com) és támogató szolgáltatásai.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Felhasználó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Minden természetes személy, aki az alkalmazást telepíti, eléri vagy használja.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Fiók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 felhasználóhoz kapcsolódó egyedi profil az alkalmazáson belül.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Ingyenes verzió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Az alkalmazás díjmentes alapfunkciói, reklámokkal.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 előfizetés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Visszatérő díjas prémium csomag — reklámmentesen, kibővített funkciókkal.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XP (Tapasztalatpont)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Belső alkalmazáspont, amely a felhasználó fejlődését méri.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CP (Cashletics Pont)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/>
            <w:r>
              <w:rPr/>
              <w:t>Belső alkalmazáspont, amely játékos célokat szolgál. A CP nem pénz és nem pénzegyenérték. A rendszer elkülöníti az ingyenesen szerzett CP-t és a Google Playen vásárolt CP-t; részvételi jegy kizárólag ingyenesen szerzett CP-ből váltható.</w:t>
            </w:r>
          </w:p>
        </w:tc>
      </w:tr>
      <w:tr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Platformszolgáltató</w:t>
            </w:r>
          </w:p>
        </w:tc>
        <w:tc>
          <w:tcPr>
            <w:tcW w:type="dxa" w:w="7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Google Play Store (Android), Apple App Store (iOS — tervezett).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3. A szolgáltatás tárgya és jellege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 célja, hogy átlátható módon segítse a felhasználót bevételei és kiadásai rögzítésében, megtakarítási céljai követésében, napi aktivitásának nyilvántartásában és motivációs kihívások teljesítésében.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kifejezetten NEM: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fér hozzá közvetlenül a felhasználó bankfiókjához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kezel valódi pénzt, és nem indít banki tranzakciót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nyújt pénzügyi, befektetési, adózási vagy hitelesítési tanácsadást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hitelesítési eszköz banki ügyletek során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szolgáltatás keretein belül a felhasználó elérhetők: pénzügyi nyilvántartás, megtakarítási célok, lépésszámlálás, játékos motivációs rendszer (kihívások, pontok, ranglista), értesítések, statisztikák és promóciók. Az egyes funkciók régiótól, platformtól és fejlesztési állapottól függhetnek.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4. Regisztráció, fiókhasználat és jogosultság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szolgáltatás használatához fiók létrehozása szükséges. A regisztráció történhet e-mail címmel és jelszóval, vagy Google-fiókkal. A regisztráció során a felhasználónak el kell fogadnia jelen ÁSZF-et és az Adatkezelési Tájékoztatót.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 fiókra vonatkozó szabályok: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felelős fiókja biztonságáért és jelszava bizalmasságáért.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/>
        <w:t>A fiók nem átruházható, nem értékesíthető és nem adható kölcsön.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Egy felhasználóhoz egy fiók tartozhat.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Szolgáltató jogosult jogsértő, visszaélő vagy hamis adattal regisztrált fiókot felfüggeszteni vagy törölni.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5. Ingyenes verzió és Pro előfizetés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3638"/>
        <w:gridCol w:w="3000"/>
        <w:gridCol w:w="3000"/>
      </w:tblGrid>
      <w:tr>
        <w:trPr>
          <w:tblHeader/>
        </w:trP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Funkció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Ingyenes verzió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Pro verzió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Alapfunkciók (nyilvántartás, célok)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Lépésszámlálás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Játékosítás (XP, CP, kihívások)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Reklámok (AdMob)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 (megjelennek)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 (reklámmentesség)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Részletes elemzések, PDF export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korlátozott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Prémium avatárok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Magasabb jutalom-szorzó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  <w:tr>
        <w:tc>
          <w:tcPr>
            <w:tcW w:type="dxa" w:w="3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 jelvény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❌ nem</w:t>
            </w:r>
          </w:p>
        </w:tc>
        <w:tc>
          <w:tcPr>
            <w:tcW w:type="dxa" w:w="3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✅ igen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5.1 Előfizetés feltételei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előfizetést a Google Play Store (Android) kezeli.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/>
        <w:t>iOS App Store előfizetés jelenleg nem elérhető. Az iOS-verzió indulásakor az ÁSZF frissítésre kerül.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előfizetés árai: PRO havi 3,99 USD; PRO éves 29,99 USD; Lifetime (500 db limitált) 99,99 USD. A pontos helyi árakat a Google Play Console / App Store határozza meg.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előfizetés automatikusan megújul, hacsak a felhasználó azt a megújulási időszak előtt lemondja.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5.2 Lemondás feltételei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Az előfizetés lemondása kizárólag a Platformszolgáltató rendszerén keresztül történik. A Szolgáltató az előfizetési díjakat nem kezeli és nem téríti vissza.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Android: Google Play → Fiók → Előfizetések → Cashletics → Lemondás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/>
        <w:t>iOS App Store előfizetés jelenleg nem elérhető; az iOS lemondási folyamat az iOS-verzió indulásakor kerül rögzítésre.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lemondás az aktuális előfizetési időszak végéig hatályos — az eseté már megfizetett díj nem térül vissza. A visszatérítési kérelmeket a Platformszolgáltató értékeli.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5.3 Elállási és felmondási jog — fogyasztói tájékoztatás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 Pro előfizetésre vonatkozó, díjfizetéssel járó szerződés a Platformszolgáltatóval (Google Play) jön létre: a díjat a Platformszolgáltató szedi be, és a visszatérítésről is a Platformszolgáltató dönt (5.1–5.2. pont). Az elállási, illetve felmondási jog gyakorlása és a visszatérítés ezért a Platformszolgáltató rendszerén keresztül, annak szerződési feltételei és visszatérítési szabályzata szerint történik.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 fogyasztó és a vállalkozás közötti szerződések részletes szabályairól szóló 45/2014. (II. 26.) Korm. rendelet 20. §-a alapján a fogyasztót a távollévők között kötött, szolgáltatás nyújtására irányuló szerződés esetén a szerződés megkötésének napjától számított tizennégy napon belül indokolás nélküli elállási jog — a teljesítés megkezdését követően pedig felmondási jog — illeti meg.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 45/2014. (II. 26.) Korm. rendelet 29. § (1) bekezdés m) pontja szerint a fogyasztó ezt a jogát nem gyakorolhatja a nem tárgyi adathordozón nyújtott digitális tartalom tekintetében, ha a vállalkozás a fogyasztó kifejezett, előzetes beleegyezésével kezdte meg a teljesítést, és a fogyasztó e beleegyezésével egyidejűleg nyilatkozott annak tudomásul vételéről, hogy a teljesítés megkezdését követően elveszíti a 20. § szerinti jogát, továbbá a vállalkozás visszaigazolást küldött a fogyasztó részére. A Pro előfizetés a vásárlás visszaigazolását követően azonnal aktiválódik, azaz a teljesítés a szerződés megkötésekor megkezdődik; azt, hogy a vásárlási folyamatban a fogyasztó tesz-e ilyen nyilatkozatot és kap-e visszaigazolást, a Platformszolgáltató feltételei határozzák meg.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Ha a fogyasztó a Szolgáltatóval közvetlenül köt díjfizetéssel járó szerződést, elállási vagy felmondási szándékát a 45/2014. (II. 26.) Korm. rendelet 22. § (1) bekezdése szerint erre vonatkozó egyértelmű nyilatkozattal — a rendelet 2. mellékletében foglalt nyilatkozatminta felhasználásával is — a support@cashleticsapp.com címen közölheti. A Szolgáltató a nyilatkozat beérkezését haladéktalanul visszaigazolja, és a fogyasztó által ellenszolgáltatásként megfizetett teljes összeget haladéktalanul, de legkésőbb az elállásról való tudomásszerzésétől számított tizennégy napon belül visszatéríti (23. § (1) bekezdés).</w:t>
      </w:r>
    </w:p>
    <w:p>
      <w:pPr>
        <w:spacing w:after="80" w:before="60"/>
        <w:jc w:val="both"/>
      </w:pPr>
      <w:r>
        <w:rPr>
          <w:rFonts w:ascii="Arial" w:cs="Arial" w:eastAsia="Arial" w:hAnsi="Arial"/>
          <w:b w:val="false"/>
          <w:bCs w:val="false"/>
          <w:color w:val="1A1A2E"/>
          <w:sz w:val="22"/>
          <w:szCs w:val="22"/>
        </w:rPr>
        <w:t xml:space="preserve">Az ingyenes verzió használata nem keletkeztet díjfizetési kötelezettséget, ezért arra elállási jog nem értelmezhető; a fiók ettől függetlenül bármikor törölhető.</w:t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6. Korlátozás és életkor-feltétel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kizárólag 16 éves vagy idősebb felhasználók számára igénybe vehető. Ez a korlátás az alábbi okokból érvényes: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GDPR 8. cikk: a 16 év alatti személyek személyes adatainak kezeléséhez szülői / törvényes képviselői hozzájárulás szükséges.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Google Play Families Policy: pénzügyi adat és egészségügyi adat kezelése automatikusan kizárja a kiskorú célközönséget.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pénzügyi takarékossági tartalmakat közvetít, amelyek 16 év alattiak számára nem megfelelőek.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regisztráció során a felhasználó nyilatkozik arról, hogy betöltötte 16. életévét. Hamis nyilatkozat esetén a Szolgáltató jogosult a fiókot azonnali hatállyal törölni.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7. Banki értesítés-olvasás funkció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opcionálisan — kizárólag a felhasználó explicit engedélyével — banki és fizetési értesítések szövegéből segít a kiadások felismerésében.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b/>
          <w:bCs/>
          <w:color w:val="1A1A2E"/>
          <w:sz w:val="22"/>
          <w:szCs w:val="22"/>
        </w:rPr>
        <w:t xml:space="preserve">Fontos feltételek: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CSAK az értesítés szövegét olvassa — a felhasználó bankfiókjához, számlaszámához, egyenlegéhez, PIN kódjához NEM fér hozzá.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banki értesítés-olvasás funkció külön hozzájáruláshoz kötött (BH-001) és bármikor kikapcsolható.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értesítésből felismert tétel a felhasználó által ellenőrizhető, módosítható vagy törölhető.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funkció Google Play Financial Data policy-val kompatibilis.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8. Játékosítási rendszer — a pontok jogi státusza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játékos motivációs rendszert tartalmaz (XP, CP, érmék, jelvények). Ezek jogi státuszáról az alábbiak kifejezetten rögzítendők:</w:t>
      </w:r>
    </w:p>
    <w:p>
      <w:pPr>
        <w:spacing w:after="60" w:before="0"/>
      </w:pPr>
      <w:r>
        <w:t xml:space="preserve"/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800"/>
        <w:gridCol w:w="6838"/>
      </w:tblGrid>
      <w:tr>
        <w:trPr>
          <w:tblHeader/>
        </w:trP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Elem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Jogi minősítés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XP (Tapasztalatpont)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NEM pénz, NEM pénzegyenérték, NEM váltható készpénzre vagy bármilyen fizetési eszközre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CP (Cashletics Pont)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/>
            <w:r>
              <w:rPr/>
              <w:t>Belső alkalmazáspont, amely játékos célokat szolgál. A CP nem pénz és nem pénzegyenérték. A rendszer elkülöníti az ingyenesen szerzett CP-t és a Google Playen vásárolt CP-t; részvételi jegy kizárólag ingyenesen szerzett CP-ből váltható.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Érmék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Kizárólag vizuális jutalom, NEM pénzügyi követelés</w:t>
            </w:r>
          </w:p>
        </w:tc>
      </w:tr>
      <w:tr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Jelvények</w:t>
            </w:r>
          </w:p>
        </w:tc>
        <w:tc>
          <w:tcPr>
            <w:tcW w:type="dxa" w:w="68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Kizárólag vizuális/státusz elem, NEM pénzügyi követelés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pontok és jelvények NEM jelentenek pénzügyi kötelezettségvállalást a Szolgáltató részéről. A Szolgáltató fenntartja a jogát az alkalmazáson belüli pont- és jutalom-mechanizmus megváltoztatására, a már megszerzett pontok értékét azonban nem csökkenti visszaható erővel.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8.1 Napi szerencsekerék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napi szerencsekerék játékos motivációs funkció. A felhasználó naponta egyszer pörgethet. Nyerhető: XP, CP, bónuszpont, jelvény. Készpénz nem nyerhető. A részvétel ingyenes — nincs pénzügyi ellenszolgáltatás-kötelezettség. A szerencsekerék az 1991. évi XXXIV. tv. (szerencsejáték-szabályzat) hatálya alá nem esik. Bővebb indoklás: PR-001 Promóciós Szabályzat.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8.2 A PiggyRun minijáték, a Piggy Coin és a jutalomcsomagok</w:t>
      </w:r>
    </w:p>
    <w:p>
      <w:pPr>
        <w:spacing w:after="80" w:before="6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 PiggyRun minijáték. </w:t>
      </w:r>
      <w:r>
        <w:rPr>
          <w:rFonts w:ascii="Arial" w:cs="Arial" w:eastAsia="Arial" w:hAnsi="Arial"/>
          <w:sz w:val="22"/>
          <w:szCs w:val="22"/>
        </w:rPr>
        <w:t xml:space="preserve">A PiggyRun a Cashletics alkalmazásba integrált, a felhasználói fiókhoz kapcsolódó ügyességi minijáték; használata nem igényel külön regisztrációt és önkéntes. A játékkal XP, ingyenesen szerzett CP és Piggy Coin szerezhető, előre közölt feltételek és szerveroldali limitek szerint; a jutalom kizárólag érvényes, szerveroldalon ellenőrzött futamlezárás alapján kerül jóváírásra.</w:t>
      </w:r>
    </w:p>
    <w:p>
      <w:pPr>
        <w:spacing w:after="80" w:before="6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Piggy Coin. </w:t>
      </w:r>
      <w:r>
        <w:rPr>
          <w:rFonts w:ascii="Arial" w:cs="Arial" w:eastAsia="Arial" w:hAnsi="Arial"/>
          <w:sz w:val="22"/>
          <w:szCs w:val="22"/>
        </w:rPr>
        <w:t xml:space="preserve">A PiggyRun belső játékegysége a Piggy Coin, amely nem pénz, nem elektronikus pénz és készpénzre nem váltható. A Cashletics az ingyenesen szerzett és a vásárolt CP-egyenlegeket elkülöníti, és ezt az eredetet a Piggy Coin-műveletek során is megőrzi. A Piggy Coin CP-re történő visszaváltása kizárólag az ingyenes eredetű érmerész terhére, a mindenkor közzétett szabályok és limitek szerint lehetséges; a jóváírás minden esetben ingyenesen szerzett CP-ként történik. A vásárolt CP-ből származó Piggy Coin semmilyen módon nem váltható vissza CP-re.</w:t>
      </w:r>
    </w:p>
    <w:p>
      <w:pPr>
        <w:spacing w:after="80" w:before="6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Jutalomcsomagok. </w:t>
      </w:r>
      <w:r>
        <w:rPr>
          <w:rFonts w:ascii="Arial" w:cs="Arial" w:eastAsia="Arial" w:hAnsi="Arial"/>
          <w:sz w:val="22"/>
          <w:szCs w:val="22"/>
        </w:rPr>
        <w:t xml:space="preserve">A véletlenszerű jutalomcsomagok (ládák) kizárólag ingyenesen szerezhetők meg, tartalmuk app-on belüli virtuális elem; részletes szabályaikat a Nyereményjáték-szabályzat tartalmazza.</w:t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9. Reklámok és AdMob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ingyenes verzióban a Google AdMob SDK segítségével reklámok jelenhetnek meg. A Pro előfizetők reklámmentesen használhatják az alkalmazást.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9.1 Rewarded reklám és CP-jutalom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Egyes műveleteknél (pl. jutalom begyűjtésekor) a felhasználó opcionálisan rewarded reklámot tekinthet meg extra CP-pontért. Fontos feltételek: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rewarded reklám megtekintése NEM kötelező — az alapjutalom reklám nélkül is igénybe vehető.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Rewarded reklámból szerezhető CP: 1 reklám = 1 CP | maximum 5 CP/nap, 25 CP/hét, 75 CP/hónap (backend limit, felhasználó által nem módosítható). CP-limit elérése után: 1 reklám = 10 XP | maximum 50 XP/nap, 250 XP/hét, 750 XP/hónap. Extra szerencsekerék-pörgetés: maximum 1/nap.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CP-pont nem pénz, nem váltható készpénzre (ld. 8. pont).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9.2 AdMob adatkezelés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AdMob (Google LLC) önálló adatfeldolgozóként működik. Adatkezelési részletek: AT-001 és DPA-001.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10. Ranglista és nyilvánossá tett adatok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ranglistát tartalmazhat, amelyen a felhasználó felhasználóneve, avatárja és pontszáma nyilvánosan megjelenhet. Fontos feltételek: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ranglistán való megjelenéshez a felhasználó kifejezett hozzájárulása szükséges.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Érzékeny személyes adat (valódi név, e-mail cím, pénzügyi adat, egészségügyi adat) nyilvánosan NEM jelenik meg.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bármikor kitérhet a ranglistáról és hozzájárulását visszavonhatja.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felhasználónév megváltoztatásakor a ranglista bejegyzése is frissül.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11. Nyeremények és promóciók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tárgyi nyereményeket kínálhatnak sorsolásos promóciók keretében. Az alábbiak minden promócióra kötelező érvénnyel vonatkoznak: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Készpénz-nyeremény soha nem kínált — kizárólag tárgyi nyeremény adható.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belső pontok (XP, CP, érmék) nem válthatók pénzre.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Minden promócióhoz külön részvételi feltételek kerülnek közzétételre (PR-001 szabályzat keretein belül).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nyertes kiválasztása dokumentált, véletlen-alapú sorsolással történik.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nyereményjátékban való részvétel NEM kötött reklám megtekintéséhez.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12. Szellemi tulajdon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Cashletics alkalmazás, grafika, szövegek, logó, és a kapcsolódó tartalmak a Szolgáltató kizárólagos szellemi tulajdonát képezik, és szerzői jogi védelem alatt állnak. A felhasználó az alkalmazás használatára korlátozott, át nem ruházható licencet kap.</w:t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Tilos: az alkalmazás másolása, módosítása, fordított fejlesztése (reverz engineering), terjesztése vagy kereskedelmi célú használata.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13. Felelősségkorlátozás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Szolgáltató kizárja felelősségét az alábbi esetekben: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által az alkalmazásba bevitt adatok pontatlanságából eredő kár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tájékoztató jellegű pénzügyi kimutatások alapján hozott pénzügyi döntések következményei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alkalmazás átmeneti elérhetetlensége (karbantartás, technikai hiba)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Harmadik fél platformjai (Google Play, Apple App Store, Firebase, AdMob) működéséből eredő károk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felhasználó eszközén vagy fiókjában bekövetkező biztonsági esemény, amelyet a Szolgáltató nem okozott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Szolgáltató felelőssége legfeljebb a felhasználó által az adott előfizetési időszakban megfizetett összeg erejéig terjed. A jelen pont szerinti korlátozás nem terjed ki a szándékosan vagy súlyos gondatlansággal okozott károkra, az emberi életet, testi épséget vagy egészséget megkárosító szerződésszegésért való felelősségre, továbbá a GDPR 82. cikke szerinti, az érintettekkel szemben fennálló felelősségre. Ingyenes használat esetén a Szolgáltató felelőssége a jogszabály által megengedett legkisebb mértékre korlátozódik.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14. Az ÁSZF módosítása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Szolgáltató jelen ÁSZF-et egyoldalúan akkor módosíthatja, ha azt jogszabályváltozás, hatósági vagy bírósági döntés, a szolgáltatás műszaki feltételeinek vagy tartalmának megváltozása, illetve a Platformszolgáltató feltételeinek változása indokolja. A módosításról a felhasználót legalább 15 nappal korábban értesíti e-mailen vagy az alkalmazáson belül. Ha a felhasználó a módosítás hatálybalépése után használja az alkalmazást, azzal elfogadja az új feltételeket. Ha a módosítást nem fogadja el, a hatálybalépés előtt a Platformszolgáltató rendszerén keresztül megszüntetheti az előfizetését, illetve törölheti a fiókját.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15. Vitarendezés és irányadó jog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Jelen ÁSZF-re és az abból keletkező jogvitákra a magyar jog irányadó. A felek elsődlegesen békés úton rendezik vitájukat. Ha ez nem vezet eredményre, az illetékes magyar bíróság előtt jogosult érdekeiket védeni.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Fogyasztói jogérvényesítés: a felhasználó panasszal fordulhat a lakóhelye szerint illetékes Békéltető Testülethez, valamint a Fogyasztóvédelmi Hatósághoz.</w:t>
      </w:r>
    </w:p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rPr/>
        <w:t>Fogyasztói jogvita esetén a felhasználó a lakóhelye szerint illetékes békéltető testülethez vagy a fogyasztóvédelmi hatósághoz fordulhat. (Az EU online vitarendezési (ODR) platformja 2025. július 20-án megszűnt, ezért a jelen ÁSZF ODR-hivatkozást nem tartalmaz.)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16. Záró rendelkezések</w:t>
      </w:r>
    </w:p>
    <w:p>
      <w:pPr>
        <w:spacing w:after="60" w:before="0"/>
      </w:pPr>
      <w:r>
        <w:t xml:space="preserve"/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Ha jelen ÁSZF bármely rendelkezése érvénytelen vagy végrehajthatatlanná válik, ez a többi rendelkezés érvényességét nem érinti.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 jelen ÁSZF magyar és angol (ASZF-001-EN) nyelven érhető el. Az EN verzió eltérése esetén a MAGYAR SZÖVEG AZ IRÁNYADÓ.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2E"/>
          <w:sz w:val="22"/>
          <w:szCs w:val="22"/>
        </w:rPr>
        <w:t xml:space="preserve">Az ÁSZF hatályos szövege folyamatosan elérhető: https://cashleticsapp.com/legal.php?slug=aszf</w:t>
      </w:r>
    </w:p>
    <w:p>
      <w:pPr>
        <w:spacing w:after="60" w:before="0"/>
      </w:pPr>
      <w:r>
        <w:t xml:space="preserve"/>
      </w:r>
    </w:p>
    <w:p>
      <w:pPr>
        <w:shd w:fill="1B6B4A" w:val="clear"/>
        <w:spacing w:after="120" w:before="280"/>
        <w:ind w:left="120" w:right="120"/>
      </w:pPr>
      <w:r>
        <w:rPr>
          <w:rFonts w:ascii="Arial" w:cs="Arial" w:eastAsia="Arial" w:hAnsi="Arial"/>
          <w:b/>
          <w:bCs/>
          <w:color w:val="FFFFFF"/>
          <w:sz w:val="24"/>
          <w:szCs w:val="24"/>
        </w:rPr>
        <w:t xml:space="preserve">Verziókezelés és változáskövetés</w:t>
      </w:r>
    </w:p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A. Verziótörténet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200"/>
        <w:gridCol w:w="1800"/>
        <w:gridCol w:w="4638"/>
        <w:gridCol w:w="2000"/>
      </w:tblGrid>
      <w:tr>
        <w:trPr>
          <w:tblHeader/>
        </w:trP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Verzió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Változtatás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Jóváhagyta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v1.5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Első kiadás — végleges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v1.7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székhely javítása (DPA-001); DPA-002 3.6 incidens-bejelentés szűkítése + nem korlátozható felelősségi kategóriák; DPA-003 felelősségkorlátozás (12 havi díj, min. 500.000 Ft); publikálási dátum frissítése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v1.8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Zsuzsa jóváhagyása átvezetve (DPIA-001, LIA-001, PR-001 lektorálva; DPA-002 3.6 + felelősségi keret; DPA-003 felelősségkorlátozás). Aláírások folyamatban.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PiggyRun minijáték, Piggy Coin, részvételi jegytípusok (sima/ezüst/arany) és véletlenszerű jutalomcsomagok (ládák) szabályozása; láda szerencsejáték-jogi minősítése jóváhagyva; gamifikációs adatelemek bővítése (AT-001, ROPA-001); DPA-001 AdMob/Firebase elfogadási dátumok; DPIA-001 I4 lezárva.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v1.9.1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Sybell (DPA-002): a szerződéstervezet aláírása helyett a Sybell ÁSZF 11.1 pontja (2026.07.20., GDPR 28. cikk (3) és (9)) rendezi az adatfeldolgozást; hivatkozások átvezetve (DPA-001, DPA-002, DPIA-001, CHK-001, D2-UGY, SZ-001, WEL-001, XHV-001); ÁSZF archiválva.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1.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DPA-003 (Bánki Balázs): a fejlesztői észrevételek átvezetése — fejlesztői szerepkör és adatkategóriák szűkítése, incidensbejelentés GDPR 33(2), jogellenes utasítás jelzése GDPR 28(3), harmadik országos transzfer pontosítása, felelősségi alsó korlát törlése. Adminisztrátori funkciókapcsolók és audit-napló felvétele (ROPA-001 17. tétel, 12 hónap megőrzés); admin felület hozzáférési mátrix pontosítása (SZ-001 2.1).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[külön nem került jóváhagyásra — a v1.10.1 váltotta fel]</w:t>
            </w:r>
          </w:p>
        </w:tc>
      </w:tr>
      <w:tr>
        <w:tc>
          <w:tcPr>
            <w:tcW w:type="dxa" w:w="1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 xml:space="preserve">v1.10.1</w:t>
            </w:r>
          </w:p>
        </w:tc>
        <w:tc>
          <w:tcPr>
            <w:tcW w:type="dxa" w:w="1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2026. augusztus 6. · kieg. 2026. szeptember 4. és 5.</w:t>
            </w:r>
          </w:p>
        </w:tc>
        <w:tc>
          <w:tcPr>
            <w:tcW w:type="dxa" w:w="46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terminológiai egységesítés (Article, Data Controller); a lektori döntések átvezetése; a négy dokumentálatlan kollekció adatköre az AT-001 4. pontjában. 2026. szeptember 4-i kiegészítés: az aláíratlan példányokban az előre kitöltött aláírási dátum helyett helyőrző (14 dokumentum); a GDPR 12(3) szerinti „indokolatlan késedelem nélkül” fordulat átvezetése (AT-001 HU/EN, EJ-001); a DPIA-001-ben az egészségügyi adat visszavonás utáni megőrzése 7 napról 30 napra, a HE-001-gyel egységesítve; a BH-001 angol változatában az EU-US Data Privacy Framework hivatkozás javítása; a DPA-002-ben az aláírás helyett a Sybell ÁSZF 11.1 pontján és az adatkezelői írásbeli utasításon alapuló jogviszony rögzítése; a DPA-001 28. cikk szerinti nyilvántartásában oszlopeltolódás javítása. Továbbá: a ROPA-001 és az ATJ-001 szövegében a nyilvántartott adatkezelési tevékenységek száma a tényleges 25-re javítva (korábban 17, illetve 16); a HJ-001 consent-példáiban a soha nem publikált AT-001 v1.8.3 hivatkozás a publikált v1.8-ra javítva. A lektori döntések átvezetése (2026. szeptember 4.): a GDPR 28(3)(f) szerinti segítségnyújtási kötelezettség beemelése a DPA-002 3.7 és a DPA-003 3.10 pontjaként; a GPS-001 Play Data Safety táblájában a Firebase Analytics felé történő továbbítás — a dokumentum saját fogalmi elhatárolásával összhangban — már nem megosztásként szerepel, az egészségügyi és fitnesz adat pedig nem kötelezőként; a LIA-001 hatóköréből kikerült a Firebase Analytics (L1) és az arra épülő aggregált elemzés (L3), mert azok jogalapja hozzájárulás, és a kizárási tábla ezzel kiegészült; a KK-001 korhatár-indoklásából elmarad a téves Infotv.-hivatkozás, a GPS-001 és az XHV-001 azonos fordulatával együtt; az EJ-001 válaszadási határideje összhangba hozva az AT-001 nyilvános ígéretével (összesen legfeljebb 60 nap); a 12(3) szerinti 30 napos vállalás mellé magyarázó megjegyzés került; a BH-001 magyar változata megkapta a harmadik országba történő adattovábbítás leírását; az AT-001 a Cloud Firestore tárolási helyét a ROPA-val egyezően eur3 európai multirégióként adja meg; a fejlesztő bekerült az AT-001 adatfeldolgozói felsorolásába, a DPA-003 utasítási pontja pedig a transzfer-fordulattal egészült ki; hat helyen az „anonimizált” megjelölés „álnevesített”-re pontosítva. Az adatkezelő 2026. szeptember 4-i nyilatkozata alapján: az adminfelületi kétfaktoros hitelesítés lejárt határidő helyett a tényleges teljesítés dátumával (2026. szeptember 1.) szerepel; a fejlesztő nevére szóló vészleállítási hozzáférés még nincs aktiválva, ezért az SZ-001 hozzáférési mátrixa és a DPA-003 3.9.8 átmeneti rendelkezése a mai és a végleges működést külön rögzíti, a szerepkörrel ténylegesen elérhető adatok tételes felsorolásával; a korábbi projektszintű (Editor) jogosultság visszavonása rögzítve. Az INC-001 érintetti ága megkapta a GDPR 34(3) mentesülési okait, a ROPA 06. tételének megőrzési ideje az AT-001-gyel összhangba került, egy lejárt külső hivatkozás cserélve, és az SZ-001 két többoldalas táblája fejlécismétlést kapott. A dokumentumok első oldaláról elmarad a fejlécben amúgy is szereplő logó második példánya (29 dokumentum); a fejléces logó változatlan, és a dokumentumok szövege egyetlen karakterrel sem változott. 2026. szeptember 5-i kiegészítés: a 15. pontban szóismétlés javítva; a 13. pontban a felelősségkorlátozás kiegészítve a nem korlátozható felelősségi esetekkel; a 14. pontban az egyoldalú módosítás objektív okai és a felhasználó elutasítási útja rögzítve; a csomagszintű lektori jóváhagyás átvezetve a verziótáblába. 2026. szeptember 6-i kiegészítés: az adatkezelő 2026. szeptember 5-i válasza alapján a csomag hatálybalépése 2026. augusztus 1-ről 2026. október 1-re módosítva (79 hely; a DPA-003 alkalmazandósági fordulata, a D2-UGY jóváhagyási dátumai és a verziótáblák dátumai szándékosan érintetlenek). 2026. szeptember 16-i kiegészítés (a lektor 2026.09.15-i 1. döntése, „B” változat): új 5.3 pont — elállási és felmondási jogról szóló fogyasztói tájékoztatás (45/2014. (II. 26.) Korm. r. 20. §, 22. § (1), 23. § (1), 29. § (1) m), 2. melléklet), HU és EN. 2026. szeptember 24-i kiegészítés: a csomag hatálybalépése 2026. október 1-ről 2026. OKTÓBER 12-re módosult. Indok: az ÁSZF-001 14. pontja és az AT-001 9. pontja szerint a felhasználókat a változásról legalább 15 nappal a hatálybalépés előtt értesíteni kell; a közzététel és az értesítés 2026. szeptember 27-én történt meg (a korábban tervezett szeptember 25. helyett). A KK-001 és a PR-001 aláírási dátuma a közzététel napja.</w:t>
            </w:r>
          </w:p>
        </w:tc>
        <w:tc>
          <w:tcPr>
            <w:tcW w:type="dxa" w:w="20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B. Változáskövetés — eltérések a 2026.03.16-i tervezethez képest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1400"/>
        <w:gridCol w:w="2600"/>
        <w:gridCol w:w="3038"/>
        <w:gridCol w:w="2600"/>
      </w:tblGrid>
      <w:tr>
        <w:trPr>
          <w:tblHeader/>
        </w:trP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Pont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Tervezet tartalma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Végleges verzió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Indok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XP/CP jogi státusz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fejezet (8.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/ fogyasztóvédelem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AdMob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Bekerült (9.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Store policy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PRO reklám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Rögzítve (9.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ÁSZF kelléke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Ranglista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Külön bek. (10.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6(1)(a)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GDPR 8. cikk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Rögzítve (6. pont)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Play Families policy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iOS lemondás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/>
              <w:t>iOS később indul; publikus placeholder törölve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iOS később indul</w:t>
            </w:r>
          </w:p>
        </w:tc>
      </w:tr>
      <w:tr>
        <w:tc>
          <w:tcPr>
            <w:tcW w:type="dxa" w:w="1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Governing language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Hiányzott HU-ban</w:t>
            </w:r>
          </w:p>
        </w:tc>
        <w:tc>
          <w:tcPr>
            <w:tcW w:type="dxa" w:w="30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Bekerült borítóra</w:t>
            </w:r>
          </w:p>
        </w:tc>
        <w:tc>
          <w:tcPr>
            <w:tcW w:type="dxa" w:w="26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EN verzió eltérés esetén</w:t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1B6B4A"/>
          <w:sz w:val="22"/>
          <w:szCs w:val="22"/>
        </w:rPr>
        <w:t xml:space="preserve">C. Aláírási blokk</w:t>
      </w:r>
    </w:p>
    <w:tbl>
      <w:tblPr>
        <w:tblW w:type="dxa" w:w="9638"/>
        <w:tblBorders>
          <w:top w:val="single" w:color="C8E6DA" w:sz="4"/>
          <w:left w:val="single" w:color="C8E6DA" w:sz="4"/>
          <w:bottom w:val="single" w:color="C8E6DA" w:sz="4"/>
          <w:right w:val="single" w:color="C8E6DA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200"/>
        <w:gridCol w:w="2238"/>
      </w:tblGrid>
      <w:tr>
        <w:trPr>
          <w:tblHeader/>
        </w:trP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Szerep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Név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Dátum</w:t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E8F5F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1A1A2E"/>
                <w:sz w:val="20"/>
                <w:szCs w:val="20"/>
              </w:rPr>
              <w:t xml:space="preserve">Aláírás</w:t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Készítette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Dr. Crespo Zsuzsanna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Átvevő / jóváhagyta</w:t>
            </w:r>
          </w:p>
        </w:tc>
        <w:tc>
          <w:tcPr>
            <w:tcW w:type="dxa" w:w="28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>Mózer Ferenc</w:t>
            </w:r>
          </w:p>
        </w:tc>
        <w:tc>
          <w:tcPr>
            <w:tcW w:type="dxa" w:w="2200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  <w:tc>
          <w:tcPr>
            <w:tcW w:type="dxa" w:w="2238"/>
            <w:tcBorders>
              <w:top w:val="single" w:color="C8E6DA" w:sz="4"/>
              <w:left w:val="single" w:color="C8E6DA" w:sz="4"/>
              <w:bottom w:val="single" w:color="C8E6DA" w:sz="4"/>
              <w:right w:val="single" w:color="C8E6DA" w:sz="4"/>
            </w:tcBorders>
            <w:shd w:fill="F7FB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1A1A2E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0"/>
      </w:pPr>
      <w:r>
        <w:t xml:space="preserve"/>
      </w:r>
    </w:p>
    <w:p>
      <w:pPr>
        <w:spacing w:after="80" w:before="60"/>
        <w:jc w:val="both"/>
      </w:pPr>
      <w:r>
        <w:t xml:space="preserve">Következő felülvizsgálat: </w:t>
      </w:r>
      <w:r>
        <w:rPr/>
        <w:t>2027. augusztus 1.</w:t>
      </w:r>
    </w:p>
    <w:p>
      <w:r>
        <w:rPr>
          <w:b/>
        </w:rPr>
        <w:t>v1.5a kiegészítés — CP-egyenlegek:</w:t>
      </w:r>
    </w:p>
    <w:p>
      <w:r>
        <w:rPr/>
        <w:t>A Cashletics két CP-egyenleget kezel: freeCp (ingyenesen szerzett CP) és purchasedCp (Google Playen vásárolt CP). A vásárolt CP appon belüli CP-s funkciókra használható, de nyereményjáték-részvételi jegyre nem váltható. Részvételi jegy kizárólag freeCp-ből váltható.</w:t>
      </w:r>
    </w:p>
    <w:sectPr>
      <w:headerReference w:type="default" r:id="rId7"/>
      <w:footerReference w:type="default" r:id="rId8"/>
      <w:headerReference w:type="first" r:id="rId11"/>
      <w:footerReference w:type="first" r:id="rId12"/>
      <w:headerReference w:type="even" r:id="rId13"/>
      <w:footerReference w:type="even" r:id="rId14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8E6DA" w:sz="4" w:space="4"/>
      </w:pBdr>
      <w:tabs>
        <w:tab w:val="right" w:pos="9638"/>
      </w:tabs>
      <w:spacing w:before="80"/>
    </w:pPr>
    <w:r>
      <w:t>ASZF-001 | v1.10.1 | Hatályos: 2026. október 12. | Cashletics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1B6B4A" w:sz="8" w:space="4"/>
      </w:pBdr>
      <w:tabs>
        <w:tab w:val="center" w:pos="4819"/>
        <w:tab w:val="right" w:pos="9638"/>
      </w:tabs>
      <w:spacing w:after="80"/>
    </w:pPr>
    <w:r>
      <w:drawing>
        <wp:inline distT="0" distB="0" distL="0" distR="0">
          <wp:extent cx="1238250" cy="4000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400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666666"/>
        <w:sz w:val="18"/>
        <w:szCs w:val="18"/>
      </w:rPr>
      <w:t xml:space="preserve">		Általános Szerződési Feltételek	ÁSZF-001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5ea643938b6e759f2d65543122dc109b20ed843f.jpg"/><Relationship Id="rId10" Type="http://schemas.openxmlformats.org/officeDocument/2006/relationships/fontTable" Target="fontTable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_rels/header1.xml.rels><?xml version='1.0' encoding='UTF-8' standalone='yes'?>
<Relationships xmlns="http://schemas.openxmlformats.org/package/2006/relationships"><Relationship Id="rId0" Type="http://schemas.openxmlformats.org/officeDocument/2006/relationships/image" Target="media/5ea643938b6e759f2d65543122dc109b20ed843f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2026-05-17T08:08:16.598Z</dcterms:created>
  <dcterms:modified xsi:type="dcterms:W3CDTF">2026-05-17T08:08:16.611Z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