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caps/>
          <w:color w:val="1B6B4A"/>
          <w:sz w:val="18"/>
          <w:szCs w:val="18"/>
        </w:rPr>
        <w:t xml:space="preserve">B blokk · Felhasználók felé, kötelező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1A1A2E"/>
          <w:sz w:val="36"/>
          <w:szCs w:val="36"/>
        </w:rPr>
        <w:t xml:space="preserve">Cookie &amp; Tracking Policy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666666"/>
          <w:sz w:val="20"/>
          <w:szCs w:val="20"/>
        </w:rPr>
        <w:t xml:space="preserve">Süti és követési szabályzat — Cashletics mobilalkalmazás</w:t>
      </w:r>
    </w:p>
    <w:p>
      <w:pPr>
        <w:spacing w:after="400"/>
      </w:pPr>
      <w:r>
        <w:rPr>
          <w:rFonts w:ascii="Courier New" w:cs="Courier New" w:eastAsia="Courier New" w:hAnsi="Courier New"/>
          <w:color w:val="666666"/>
          <w:sz w:val="20"/>
          <w:szCs w:val="20"/>
        </w:rPr>
        <w:t xml:space="preserve">CK-001</w:t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Adatkezelő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Mózer Ferenc egyéni vállalkozó
6044 Kecskemét, Hetény-Belsőnyír 268/2.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Hatálybalépés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2026. október 12.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Készítette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 | zsuzsanna@crespo.hu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Verzió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 xml:space="preserve">v1.10.2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Hatály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Kizárólag az app-oldali Firebase szolgáltatásokra — a weboldal tracker-mentes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Irányadó nyelv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Magyar — az angol változat (CK-001-EN) eltérése esetén a MAGYAR SZÖVEG AZ IRÁNYADÓ.</w:t>
            </w:r>
          </w:p>
        </w:tc>
      </w:tr>
    </w:tbl>
    <w:p>
      <w:pPr>
        <w:spacing w:after="0"/>
      </w:pPr>
      <w:r>
        <w:br w:type="pag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1. Bevezető és hatály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1B6B4A" w:sz="6"/>
          <w:left w:val="single" w:color="1B6B4A" w:sz="6"/>
          <w:bottom w:val="single" w:color="1B6B4A" w:sz="6"/>
          <w:right w:val="single" w:color="1B6B4A" w:sz="6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1B6B4A" w:sz="6"/>
              <w:left w:val="single" w:color="1B6B4A" w:sz="6"/>
              <w:bottom w:val="single" w:color="1B6B4A" w:sz="6"/>
              <w:right w:val="single" w:color="1B6B4A" w:sz="6"/>
            </w:tcBorders>
            <w:shd w:fill="E8F5F0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color w:val="1B6B4A"/>
                <w:sz w:val="20"/>
                <w:szCs w:val="20"/>
              </w:rPr>
              <w:t xml:space="preserve">✅ A cashleticsapp.com weboldal teljes mértékben tracker-mentes. Nincs Google Analytics, Meta Pixel, Google Tag Manager, Firebase web SDK vagy bármilyen más süti/követő szkript. Cookie-banner a weboldalon NEM szükséges.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Ez a szabályzat kizárólag az alkalmazás belső követési megoldásaira vonatkozik: Firebase Analytics, Crashlytics (jövőbeli), Firebase Cloud Messaging (jövőbeli) és Google AdMob. Ezek nem hagyományos sütiket, hanem app-szintű azonosítókat használnak.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szabályzat a Google Play Data Safety form kitöltésének alapja is (GPS-001).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2. Mi az a süti és mi az app-szintű követés?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2400"/>
        <w:gridCol w:w="4238"/>
        <w:gridCol w:w="3000"/>
      </w:tblGrid>
      <w:tr>
        <w:trPr>
          <w:tblHeader/>
        </w:trP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Típus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Leírás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Cashletics esetében</w:t>
            </w:r>
          </w:p>
        </w:tc>
      </w:tr>
      <w:t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Webes süti (cookie)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Böngészőben tárolt kis szövegfájl, weboldal követi a látogatót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NEM használunk — weboldal tracker-mentes</w:t>
            </w:r>
          </w:p>
        </w:tc>
      </w:tr>
      <w:t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App-szintű azonosító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Mobilalkalmazás által használt egyedi ID (pl. Firebase Instance ID)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Firebase Analytics és AdMob használja</w:t>
            </w:r>
          </w:p>
        </w:tc>
      </w:tr>
      <w:t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Eszköz azonosító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Android ID, Advertising ID (GAID)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AdMob használja reklámcélra (hozzájáruláshoz kötött)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3. Firebase Analytics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Paraméter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Érték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Szolgáltató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LLC / Firebase Analytics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Cél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Használati adatok elemzése, alkalmazás fejlesztése, hibafelismerés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Gyűjtött adatok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Használati események, munkamenet időtartam, képernyőmegtekintések, eszköztípus, OS verzió, alkalmazás verzió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Azonosító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Firebase Instance ID (alkalmazásonként egyedi, alaphelyzetbe állítható)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IP-cím kezelése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Anonimizált (utolsó oktet maszkolás)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Adattárolás helye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LLC szerverek (USA) — EU-US DPF alapján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Megőrzési idő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14 hónap (Firebase alapértelmezett)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Jogalap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GDPR 6(1)(a) hozzájárulás a Firebase Analytics esetén; technikai hibajavítás/crash log esetén GDPR 6(1)(f) jogos érdek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Kikapcsolható?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Igen — Profil → Beállítások → „Analytics / használati statisztika” kapcsoló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Play Store Data Safety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Deklarálni kell: „Analytics” és „App interactions” adattípus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Google Consent Mode v2</w:t>
      </w:r>
    </w:p>
    <w:p>
      <w:pPr>
        <w:spacing w:after="80" w:before="60"/>
        <w:jc w:val="both"/>
      </w:pPr>
      <w:r>
        <w:rPr/>
        <w:t>A Firebase Analytics GDPR-régióban (EU/EEA) hozzájárulás alapján működik. Hozzájárulás hiányában az Analytics adatgyűjtése kikapcsolt vagy csak jogilag megengedett, nem személyes/aggregált módon működhet.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4. Firebase Crashlytics (jelenleg inaktív)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D4A017" w:sz="4"/>
          <w:left w:val="single" w:color="D4A017" w:sz="4"/>
          <w:bottom w:val="single" w:color="D4A017" w:sz="4"/>
          <w:right w:val="single" w:color="D4A017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D4A017" w:sz="4"/>
              <w:left w:val="single" w:color="D4A017" w:sz="4"/>
              <w:bottom w:val="single" w:color="D4A017" w:sz="4"/>
              <w:right w:val="single" w:color="D4A017" w:sz="4"/>
            </w:tcBorders>
            <w:shd w:fill="FEF6E4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D4A017"/>
                <w:sz w:val="20"/>
                <w:szCs w:val="20"/>
              </w:rPr>
              <w:t xml:space="preserve">A Crashlytics jelenleg NEM aktív. Ha a jövőben aktiválásra kerül, ez a szabályzat frissítendő, és az SZ-001 Belső szabályzat frissítési mátrixában szereplő trigger aktiválódik.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Várható adatkör (ha aktiválódik): hibajelentések, stack trace, eszközállapot az alkalmazás összeomlásakor. Jogalap: 6(1)(f) jogos érdek (hibajavítás). Megőrzési idő: 90 nap.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5. Firebase Cloud Messaging — FCM (jelenleg inaktív)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D4A017" w:sz="4"/>
          <w:left w:val="single" w:color="D4A017" w:sz="4"/>
          <w:bottom w:val="single" w:color="D4A017" w:sz="4"/>
          <w:right w:val="single" w:color="D4A017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D4A017" w:sz="4"/>
              <w:left w:val="single" w:color="D4A017" w:sz="4"/>
              <w:bottom w:val="single" w:color="D4A017" w:sz="4"/>
              <w:right w:val="single" w:color="D4A017" w:sz="4"/>
            </w:tcBorders>
            <w:shd w:fill="FEF6E4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D4A017"/>
                <w:sz w:val="20"/>
                <w:szCs w:val="20"/>
              </w:rPr>
              <w:t xml:space="preserve">Az FCM jelenleg NEM aktív. Ha a jövőben aktiválásra kerül, ez a szabályzat frissítendő.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Várható adatkör (ha aktiválódik): FCM token (push azonosító), eszközazonosító. Cél: push értesítések küldése. Jogalap: 6(1)(a) hozzájárulás (hozzájáruláshoz kötött opt-in). Bármikor visszavonható.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6. Google AdMob — reklámkövetés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ingyenes verzióban Google AdMob SDK működik. A PRO előfizetők reklámmentest használnak — náluk az AdMob NEM aktív. Az alkalmazás jelenlegi verziójában minden reklámkérés (banner és jutalmazott reklám) nem személyre szabott, a „Személyre szabott Free reklámok” kapcsoló állásától függetlenül; a nem személyre szabott reklám kiszolgálása során is történik adatkezelés. A reklámkérés előtt az alkalmazás frissíti a Google hozzájárulási állapotát (UMP), és szükség esetén megjeleníti a Google hozzájárulási űrlapját; a Google-választások (Profil → Beállítások → AdMob adatvédelmi beállítások) és az alkalmazás saját kapcsolói külön állapotok, egymást nem írják át.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Paraméter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Érték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Szolgáltató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LLC / AdMob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Cél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Reklámok megjelenítése, reklámhatékonyság mérése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Azonosítók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Advertising ID (GAID), Android ID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Gyűjtött adatok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Reklámmegtekintés, kattintás, rewarded reklám teljesítés, IP-cím (anonimizált)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Adattárolás helye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LLC szerverek (USA) — EU-US DPF alapján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Jogalap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GDPR 6(1)(a) hozzájárulás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Vonatkozik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Csak ingyenes felhasználókra — PRO előfizetőknél inaktív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Kikapcsolható?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személyre szabás: a saját kapcsolóval és a Google-beállításokban (Profil → Beállítások → AdMob adatvédelmi beállítások); a reklámok teljes kikapcsolása: PRO előfizetéssel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Play Store Data Safety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Deklarálni kell: „Advertising or marketing”, „Device or other IDs”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Reklám személyre szabás és opt-out</w:t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Google Advertising ID (GAID) a felhasználó által bármikor alaphelyzetbe állítható vagy letiltható: Android &gt; Beállítások &gt; Google &gt; Reklámok &gt; Reklám ID törlése.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7. Weboldal (cashleticsapp.com) — tracker-mentes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1B6B4A" w:sz="6"/>
          <w:left w:val="single" w:color="1B6B4A" w:sz="6"/>
          <w:bottom w:val="single" w:color="1B6B4A" w:sz="6"/>
          <w:right w:val="single" w:color="1B6B4A" w:sz="6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1B6B4A" w:sz="6"/>
              <w:left w:val="single" w:color="1B6B4A" w:sz="6"/>
              <w:bottom w:val="single" w:color="1B6B4A" w:sz="6"/>
              <w:right w:val="single" w:color="1B6B4A" w:sz="6"/>
            </w:tcBorders>
            <w:shd w:fill="E8F5F0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color w:val="1B6B4A"/>
                <w:sz w:val="20"/>
                <w:szCs w:val="20"/>
              </w:rPr>
              <w:t xml:space="preserve">✅ A weboldal kizárólag funkcionális sütiket használ (munkamenet, ha szükséges). Nincs analitikai, marketing vagy követő süti.</w:t>
            </w:r>
          </w:p>
        </w:tc>
      </w:tr>
    </w:tbl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3200"/>
        <w:gridCol w:w="2200"/>
        <w:gridCol w:w="4238"/>
      </w:tblGrid>
      <w:tr>
        <w:trPr>
          <w:tblHeader/>
        </w:trP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Tracker / eszköz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Státusz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Megjegyzés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Analytics 4 (GA4)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❌ NEM aktív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Nincs beépítve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Tag Manager (GTM)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❌ NEM aktív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Nincs beépítve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Meta Pixel (Facebook)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❌ NEM aktív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Nincs beépítve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Firebase web SDK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❌ NEM aktív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Nincs beépítve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Hotjar / Microsoft Clarity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❌ NEM aktív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Nincs beépítve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Consent Mode v2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❌ Nem szükséges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Tracker hiányában nem kell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Cookie banner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❌ Nem szükséges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Tracker hiányában nem kell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8. Hozzájárulás és visszavonás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alkalmazás a hozzájárulást igénylő követési módszereknél (Analytics GDPR-régióban, AdMob) az alábbi mechanizmust alkalmazza: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2800"/>
        <w:gridCol w:w="3438"/>
        <w:gridCol w:w="3400"/>
      </w:tblGrid>
      <w:tr>
        <w:trPr>
          <w:tblHeader/>
        </w:trP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Követési eszköz</w:t>
            </w:r>
          </w:p>
        </w:tc>
        <w:tc>
          <w:tcPr>
            <w:tcW w:type="dxa" w:w="3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Hozzájárulás módja</w:t>
            </w:r>
          </w:p>
        </w:tc>
        <w:tc>
          <w:tcPr>
            <w:tcW w:type="dxa" w:w="3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Visszavonás módja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Firebase Analytics</w:t>
            </w:r>
          </w:p>
        </w:tc>
        <w:tc>
          <w:tcPr>
            <w:tcW w:type="dxa" w:w="3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Külön kapcsoló, alapból kikapcsolva — Profil → Beállítások; jogi újraelfogadáskor a hozzájárulási képernyőn is (HJ-001 4. fejezet)</w:t>
            </w:r>
          </w:p>
        </w:tc>
        <w:tc>
          <w:tcPr>
            <w:tcW w:type="dxa" w:w="3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Profil → Beállítások → „Analytics / használati statisztika” kapcsoló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AdMob (ingyenes verzió)</w:t>
            </w:r>
          </w:p>
        </w:tc>
        <w:tc>
          <w:tcPr>
            <w:tcW w:type="dxa" w:w="3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személyre szabás: külön kapcsoló, alapból kikapcsolva — Profil → Beállítások; jogi újraelfogadáskor a hozzájárulási képernyőn is (HJ-001 4. fejezet); a reklámkérés előtt a Google hozzájárulási felülete (UMP)</w:t>
            </w:r>
          </w:p>
        </w:tc>
        <w:tc>
          <w:tcPr>
            <w:tcW w:type="dxa" w:w="3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Profil → Beállítások → „Személyre szabott Free reklámok” kapcsoló; a PRO csomagban nincs reklám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FCM (ha aktív lesz)</w:t>
            </w:r>
          </w:p>
        </w:tc>
        <w:tc>
          <w:tcPr>
            <w:tcW w:type="dxa" w:w="3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Rendszer szintű push engedély kérés</w:t>
            </w:r>
          </w:p>
        </w:tc>
        <w:tc>
          <w:tcPr>
            <w:tcW w:type="dxa" w:w="3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Rendszer beállítások &gt; Értesítések &gt; Cashletics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Crashlytics (ha aktív lesz)</w:t>
            </w:r>
          </w:p>
        </w:tc>
        <w:tc>
          <w:tcPr>
            <w:tcW w:type="dxa" w:w="3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Alkalmazás indításakor</w:t>
            </w:r>
          </w:p>
        </w:tc>
        <w:tc>
          <w:tcPr>
            <w:tcW w:type="dxa" w:w="3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Alkalmazás &gt; Beállítások &gt; Adatkezelés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hozzájárulás visszavonása nem érinti a visszavonás előtt végzett adatkezelés jogszerűségét (GDPR 7. cikk (3)).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9. Google Play Data Safety form — előre kitöltött áttekintés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részletes, mezőnkénti Play Console kitöltési útmutató: GPS-001. Az alábbi összefoglaló a CK-001 szempontjából releváns deklarációkat tartalmazza: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3600"/>
        <w:gridCol w:w="3038"/>
        <w:gridCol w:w="3000"/>
      </w:tblGrid>
      <w:tr>
        <w:trPr>
          <w:tblHeader/>
        </w:trPr>
        <w:tc>
          <w:tcPr>
            <w:tcW w:type="dxa" w:w="3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Data Safety kérdés</w:t>
            </w:r>
          </w:p>
        </w:tc>
        <w:tc>
          <w:tcPr>
            <w:tcW w:type="dxa" w:w="3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Cashletics válasz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Indok</w:t>
            </w:r>
          </w:p>
        </w:tc>
      </w:tr>
      <w:tr>
        <w:tc>
          <w:tcPr>
            <w:tcW w:type="dxa" w:w="3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Gyűjt adatot?</w:t>
            </w:r>
          </w:p>
        </w:tc>
        <w:tc>
          <w:tcPr>
            <w:tcW w:type="dxa" w:w="3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IGEN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Firebase Analytics, AdMob, fiókadatok</w:t>
            </w:r>
          </w:p>
        </w:tc>
      </w:tr>
      <w:tr>
        <w:tc>
          <w:tcPr>
            <w:tcW w:type="dxa" w:w="3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Megosztja harmadik féllel?</w:t>
            </w:r>
          </w:p>
        </w:tc>
        <w:tc>
          <w:tcPr>
            <w:tcW w:type="dxa" w:w="3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IGEN (AdMob, Analytics)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LLC adatfeldolgozók</w:t>
            </w:r>
          </w:p>
        </w:tc>
      </w:tr>
      <w:tr>
        <w:tc>
          <w:tcPr>
            <w:tcW w:type="dxa" w:w="3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Titkosítja átvitel közben?</w:t>
            </w:r>
          </w:p>
        </w:tc>
        <w:tc>
          <w:tcPr>
            <w:tcW w:type="dxa" w:w="3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IGEN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HTTPS/TLS</w:t>
            </w:r>
          </w:p>
        </w:tc>
      </w:tr>
      <w:tr>
        <w:tc>
          <w:tcPr>
            <w:tcW w:type="dxa" w:w="3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Törlési kérelem mechanizmus?</w:t>
            </w:r>
          </w:p>
        </w:tc>
        <w:tc>
          <w:tcPr>
            <w:tcW w:type="dxa" w:w="3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IGEN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fiok-torlese.php + privacy@cashleticsapp.com</w:t>
            </w:r>
          </w:p>
        </w:tc>
      </w:tr>
      <w:tr>
        <w:tc>
          <w:tcPr>
            <w:tcW w:type="dxa" w:w="3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Független biztonsági audit?</w:t>
            </w:r>
          </w:p>
        </w:tc>
        <w:tc>
          <w:tcPr>
            <w:tcW w:type="dxa" w:w="3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NEM (induláskor)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később opcionálisan elvégezhető / nem publikálási feltétel</w:t>
            </w:r>
          </w:p>
        </w:tc>
      </w:tr>
      <w:tr>
        <w:tc>
          <w:tcPr>
            <w:tcW w:type="dxa" w:w="3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Health info gyűjtés?</w:t>
            </w:r>
          </w:p>
        </w:tc>
        <w:tc>
          <w:tcPr>
            <w:tcW w:type="dxa" w:w="3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IGEN (opcionális)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Lépésszám — Health Connect / HealthKit</w:t>
            </w:r>
          </w:p>
        </w:tc>
      </w:tr>
      <w:tr>
        <w:tc>
          <w:tcPr>
            <w:tcW w:type="dxa" w:w="3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Financial info gyűjtés?</w:t>
            </w:r>
          </w:p>
        </w:tc>
        <w:tc>
          <w:tcPr>
            <w:tcW w:type="dxa" w:w="3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IGEN (felhasználó adja meg)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Bevétel/kiadás bejegyzések</w:t>
            </w:r>
          </w:p>
        </w:tc>
      </w:tr>
      <w:tr>
        <w:tc>
          <w:tcPr>
            <w:tcW w:type="dxa" w:w="3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Device or other IDs?</w:t>
            </w:r>
          </w:p>
        </w:tc>
        <w:tc>
          <w:tcPr>
            <w:tcW w:type="dxa" w:w="3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IGEN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Android ID (AdMob), Firebase Instance ID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10. Kapcsolat és panasz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Cookie/tracking kérdések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privacy@cashleticsapp.com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Adatvédelmi hatóság (NAIH)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www.naih.hu | ugyfelszolgalat@naih.hu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Hatályos verzió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https://cashleticsapp.com/legal.php?slug=cookie-tracking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Angol verzió (CK-001-EN)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https://cashleticsapp.com/legal.php?slug=cookie-tracking&amp;lang=en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Verziókezelés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1200"/>
        <w:gridCol w:w="1800"/>
        <w:gridCol w:w="4638"/>
        <w:gridCol w:w="2000"/>
      </w:tblGrid>
      <w:tr>
        <w:trPr>
          <w:tblHeader/>
        </w:trP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Verzió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Dátum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Változtatás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Jóváhagyta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v1.5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Első kiadás — végleges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v1.7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augusztus 1.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Sybell székhely javítása (DPA-001); DPA-002 3.6 incidens-bejelentés szűkítése + nem korlátozható felelősségi kategóriák; DPA-003 felelősségkorlátozás (12 havi díj, min. 500.000 Ft); publikálási dátum frissítése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v1.8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augusztus 1.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Zsuzsa jóváhagyása átvezetve (DPIA-001, LIA-001, PR-001 lektorálva; DPA-002 3.6 + felelősségi keret; DPA-003 felelősségkorlátozás). Aláírások folyamatban.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 xml:space="preserve">v1.9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augusztus 1.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PiggyRun minijáték, Piggy Coin, részvételi jegytípusok (sima/ezüst/arany) és véletlenszerű jutalomcsomagok (ládák) szabályozása; láda szerencsejáték-jogi minősítése jóváhagyva; gamifikációs adatelemek bővítése (AT-001, ROPA-001); DPA-001 AdMob/Firebase elfogadási dátumok; DPIA-001 I4 lezárva.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 xml:space="preserve">v1.9.1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augusztus 1.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Sybell (DPA-002): a szerződéstervezet aláírása helyett a Sybell ÁSZF 11.1 pontja (2026.07.20., GDPR 28. cikk (3) és (9)) rendezi az adatfeldolgozást; hivatkozások átvezetve (DPA-001, DPA-002, DPIA-001, CHK-001, D2-UGY, SZ-001, WEL-001, XHV-001); ÁSZF archiválva.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 xml:space="preserve">v1.10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augusztus 1.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DPA-003 (Bánki Balázs): a fejlesztői észrevételek átvezetése — fejlesztői szerepkör és adatkategóriák szűkítése, incidensbejelentés GDPR 33(2), jogellenes utasítás jelzése GDPR 28(3), harmadik országos transzfer pontosítása, felelősségi alsó korlát törlése. Adminisztrátori funkciókapcsolók és audit-napló felvétele (ROPA-001 17. tétel, 12 hónap megőrzés); admin felület hozzáférési mátrix pontosítása (SZ-001 2.1).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[külön nem került jóváhagyásra — a v1.10.1 váltotta fel]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 xml:space="preserve">v1.10.1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augusztus 6. · kieg. 2026. szeptember 4. és 5.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EN terminológiai egységesítés (Article, Data Controller); a lektori döntések átvezetése; a négy dokumentálatlan kollekció adatköre az AT-001 4. pontjában. 2026. szeptember 4-i kiegészítés: az aláíratlan példányokban az előre kitöltött aláírási dátum helyett helyőrző (14 dokumentum); a GDPR 12(3) szerinti „indokolatlan késedelem nélkül” fordulat átvezetése (AT-001 HU/EN, EJ-001); a DPIA-001-ben az egészségügyi adat visszavonás utáni megőrzése 7 napról 30 napra, a HE-001-gyel egységesítve; a BH-001 angol változatában az EU-US Data Privacy Framework hivatkozás javítása; a DPA-002-ben az aláírás helyett a Sybell ÁSZF 11.1 pontján és az adatkezelői írásbeli utasításon alapuló jogviszony rögzítése; a DPA-001 28. cikk szerinti nyilvántartásában oszlopeltolódás javítása. Továbbá: a ROPA-001 és az ATJ-001 szövegében a nyilvántartott adatkezelési tevékenységek száma a tényleges 25-re javítva (korábban 17, illetve 16); a HJ-001 consent-példáiban a soha nem publikált AT-001 v1.8.3 hivatkozás a publikált v1.8-ra javítva. A lektori döntések átvezetése (2026. szeptember 4.): a GDPR 28(3)(f) szerinti segítségnyújtási kötelezettség beemelése a DPA-002 3.7 és a DPA-003 3.10 pontjaként; a GPS-001 Play Data Safety táblájában a Firebase Analytics felé történő továbbítás — a dokumentum saját fogalmi elhatárolásával összhangban — már nem megosztásként szerepel, az egészségügyi és fitnesz adat pedig nem kötelezőként; a LIA-001 hatóköréből kikerült a Firebase Analytics (L1) és az arra épülő aggregált elemzés (L3), mert azok jogalapja hozzájárulás, és a kizárási tábla ezzel kiegészült; a KK-001 korhatár-indoklásából elmarad a téves Infotv.-hivatkozás, a GPS-001 és az XHV-001 azonos fordulatával együtt; az EJ-001 válaszadási határideje összhangba hozva az AT-001 nyilvános ígéretével (összesen legfeljebb 60 nap); a 12(3) szerinti 30 napos vállalás mellé magyarázó megjegyzés került; a BH-001 magyar változata megkapta a harmadik országba történő adattovábbítás leírását; az AT-001 a Cloud Firestore tárolási helyét a ROPA-val egyezően eur3 európai multirégióként adja meg; a fejlesztő bekerült az AT-001 adatfeldolgozói felsorolásába, a DPA-003 utasítási pontja pedig a transzfer-fordulattal egészült ki; hat helyen az „anonimizált” megjelölés „álnevesített”-re pontosítva. Az adatkezelő 2026. szeptember 4-i nyilatkozata alapján: az adminfelületi kétfaktoros hitelesítés lejárt határidő helyett a tényleges teljesítés dátumával (2026. szeptember 1.) szerepel; a fejlesztő nevére szóló vészleállítási hozzáférés még nincs aktiválva, ezért az SZ-001 hozzáférési mátrixa és a DPA-003 3.9.8 átmeneti rendelkezése a mai és a végleges működést külön rögzíti, a szerepkörrel ténylegesen elérhető adatok tételes felsorolásával; a korábbi projektszintű (Editor) jogosultság visszavonása rögzítve. Az INC-001 érintetti ága megkapta a GDPR 34(3) mentesülési okait, a ROPA 06. tételének megőrzési ideje az AT-001-gyel összhangba került, egy lejárt külső hivatkozás cserélve, és az SZ-001 két többoldalas táblája fejlécismétlést kapott. A dokumentumok első oldaláról elmarad a fejlécben amúgy is szereplő logó második példánya (29 dokumentum); a fejléces logó változatlan, és a dokumentumok szövege egyetlen karakterrel sem változott. 2026. szeptember 5-i kiegészítés: a csomagszintű lektori jóváhagyás átvezetve a verziótáblába. 2026. szeptember 6-i kiegészítés: az adatkezelő 2026. szeptember 5-i válasza alapján a csomag hatálybalépése 2026. augusztus 1-ről 2026. október 1-re módosítva (79 hely; a DPA-003 alkalmazandósági fordulata, a D2-UGY jóváhagyási dátumai és a verziótáblák dátumai szándékosan érintetlenek). 2026. szeptember 24-i kiegészítés: a csomag hatálybalépése 2026. október 1-ről 2026. OKTÓBER 12-re módosult. Indok: az ÁSZF-001 14. pontja és az AT-001 9. pontja szerint a felhasználókat a változásról legalább 15 nappal a hatálybalépés előtt értesíteni kell; a közzététel és az értesítés 2026. szeptember 27-én történt meg (a korábban tervezett szeptember 25. helyett). A KK-001 és a PR-001 aláírási dátuma a közzététel napja.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v1.10.2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október 3. · kieg. 2026. október 8.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HJ-001 v1.10.2-höz igazított hivatkozások (az adatkezelő 2026. október 2-i technikai eltéréslistája alapján): a használati statisztika és a személyre szabott reklám a hozzájárulási képernyő két külön, alapból kikapcsolt kapcsolója (HJ-001 4. fejezet), a korábbi „5. lépés” helyett; a visszavonási útvonal Profil → Beállítások. A hatálybalépés változatlanul 2026. október 12. Kiegészítés 2026. október 8., a közzététel előtt (az adatkezelő 2026. október 3-i technikai válaszai alapján): a jelen verzióban minden reklámkérés nem személyre szabott; a Google UMP és a saját kapcsolók viszonya; az opcionális kapcsolók új regisztrációnál a Beállításokban, újraelfogadáskor a hozzájárulási képernyőn is.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</w:tbl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2400"/>
        <w:gridCol w:w="2800"/>
        <w:gridCol w:w="2200"/>
        <w:gridCol w:w="2238"/>
      </w:tblGrid>
      <w:tr>
        <w:trPr>
          <w:tblHeader/>
        </w:trP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Szerep</w:t>
            </w:r>
          </w:p>
        </w:tc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Név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Dátum</w:t>
            </w:r>
          </w:p>
        </w:tc>
        <w:tc>
          <w:tcPr>
            <w:tcW w:type="dxa" w:w="2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Aláírás</w:t>
            </w:r>
          </w:p>
        </w:tc>
      </w:tr>
      <w:t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Készítette</w:t>
            </w:r>
          </w:p>
        </w:tc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/>
            </w:r>
          </w:p>
        </w:tc>
        <w:tc>
          <w:tcPr>
            <w:tcW w:type="dxa" w:w="2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Átvevő / jóváhagyta</w:t>
            </w:r>
          </w:p>
        </w:tc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Mózer Ferenc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/>
            </w:r>
          </w:p>
        </w:tc>
        <w:tc>
          <w:tcPr>
            <w:tcW w:type="dxa" w:w="2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t xml:space="preserve">Következő felülvizsgálat: </w:t>
      </w:r>
      <w:r>
        <w:rPr/>
        <w:t>2027. augusztus 1.</w:t>
      </w:r>
    </w:p>
    <w:sectPr>
      <w:headerReference w:type="default" r:id="rId7"/>
      <w:footerReference w:type="default" r:id="rId8"/>
      <w:headerReference w:type="first" r:id="rId11"/>
      <w:footerReference w:type="first" r:id="rId12"/>
      <w:headerReference w:type="even" r:id="rId13"/>
      <w:footerReference w:type="even" r:id="rId14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E6DA" w:sz="4" w:space="4"/>
      </w:pBdr>
      <w:tabs>
        <w:tab w:val="right" w:pos="9638"/>
      </w:tabs>
      <w:spacing w:before="80"/>
    </w:pPr>
    <w:r>
      <w:t>CK-001 | v1.10.2 | Hatályos: 2026. október 12. | Cashletics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B6B4A" w:sz="8" w:space="4"/>
      </w:pBdr>
      <w:tabs>
        <w:tab w:val="center" w:pos="4819"/>
        <w:tab w:val="right" w:pos="9638"/>
      </w:tabs>
      <w:spacing w:after="80"/>
    </w:pPr>
    <w:r>
      <w:drawing>
        <wp:inline distT="0" distB="0" distL="0" distR="0">
          <wp:extent cx="1238250" cy="4000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666666"/>
        <w:sz w:val="18"/>
        <w:szCs w:val="18"/>
      </w:rPr>
      <w:t xml:space="preserve">		Cookie &amp; Tracking Policy	CK-001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5ea643938b6e759f2d65543122dc109b20ed843f.jpg"/><Relationship Id="rId10" Type="http://schemas.openxmlformats.org/officeDocument/2006/relationships/fontTable" Target="fontTable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5ea643938b6e759f2d65543122dc109b20ed843f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2026-05-17T08:26:35.468Z</dcterms:created>
  <dcterms:modified xsi:type="dcterms:W3CDTF">2026-05-17T08:26:35.470Z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