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Block B · User-facing, separate consent</w:t>
      </w:r>
    </w:p>
    <w:p>
      <w:pPr>
        <w:spacing w:after="80"/>
      </w:pPr>
      <w:r>
        <w:rPr>
          <w:rFonts w:ascii="Arial" w:cs="Arial" w:eastAsia="Arial" w:hAnsi="Arial"/>
          <w:b/>
          <w:bCs/>
          <w:color w:val="1A1A2E"/>
          <w:sz w:val="36"/>
          <w:szCs w:val="36"/>
        </w:rPr>
        <w:t xml:space="preserve">Health Data Statement</w:t>
      </w:r>
    </w:p>
    <w:p>
      <w:pPr>
        <w:spacing w:after="80"/>
      </w:pPr>
      <w:r>
        <w:rPr/>
        <w:t>Step count and Health Connect data processing (iOS / HealthKit currently inactive)</w:t>
      </w:r>
    </w:p>
    <w:p>
      <w:pPr>
        <w:spacing w:after="240"/>
      </w:pPr>
      <w:r>
        <w:rPr>
          <w:rFonts w:ascii="Courier New" w:cs="Courier New" w:eastAsia="Courier New" w:hAnsi="Courier New"/>
          <w:color w:val="666666"/>
          <w:sz w:val="20"/>
          <w:szCs w:val="20"/>
        </w:rPr>
        <w:t xml:space="preserve">HE-001-EN</w:t>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Health Data Statement (HE-001).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https://cashleticsapp.com/legal.php?slug=egeszsegugyi-adat&amp;lang=hu</w:t>
            </w:r>
          </w:p>
        </w:tc>
      </w:tr>
    </w:tbl>
    <w:p>
      <w:pPr>
        <w:spacing w:after="200"/>
      </w:pP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Controller</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 (sole trader / egyéni vállalkozó)
6044 Kecskemét, Hetény-Belsőnyír 268/2., Hungary</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12 October 2026</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 xml:space="preserve">v1.10.2</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GDPR reference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9(2)(a) — explicit consent for special category data</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Related documents</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AT-001-EN, ROPA-001, DPIA-001, HJ-001-EN, HE-001 (HU)</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Hungarian (HE-001) — this EN version is a translation</w:t>
            </w:r>
          </w:p>
        </w:tc>
      </w:tr>
    </w:tbl>
    <w:p>
      <w:pPr>
        <w:spacing w:after="0"/>
      </w:pPr>
      <w:r>
        <w:br w:type="page"/>
      </w:r>
    </w:p>
    <w:p>
      <w:pPr>
        <w:shd w:fill="1B6B4A" w:val="clear"/>
        <w:spacing w:after="120" w:before="280"/>
        <w:ind w:left="120" w:right="120"/>
      </w:pPr>
      <w:r>
        <w:rPr>
          <w:rFonts w:ascii="Arial" w:cs="Arial" w:eastAsia="Arial" w:hAnsi="Arial"/>
          <w:b/>
          <w:bCs/>
          <w:color w:val="FFFFFF"/>
          <w:sz w:val="24"/>
          <w:szCs w:val="24"/>
        </w:rPr>
        <w:t xml:space="preserve">1. Why Is Step Count Special Category Data?</w:t>
      </w:r>
    </w:p>
    <w:p>
      <w:pPr>
        <w:spacing w:after="60" w:before="0"/>
      </w:pPr>
      <w:r>
        <w:t xml:space="preserve"/>
      </w:r>
    </w:p>
    <w:tbl>
      <w:tblPr>
        <w:tblW w:type="dxa" w:w="9638"/>
        <w:tblBorders>
          <w:top w:val="single" w:color="D4A017" w:sz="8"/>
          <w:left w:val="single" w:color="D4A017" w:sz="8"/>
          <w:bottom w:val="single" w:color="D4A017" w:sz="8"/>
          <w:right w:val="single" w:color="D4A017" w:sz="8"/>
          <w:insideH w:val="single" w:color="auto" w:sz="4"/>
          <w:insideV w:val="single" w:color="auto" w:sz="4"/>
        </w:tblBorders>
      </w:tblPr>
      <w:tblGrid>
        <w:gridCol w:w="9638"/>
      </w:tblGrid>
      <w:tr>
        <w:tc>
          <w:tcPr>
            <w:tcW w:type="dxa" w:w="9638"/>
            <w:tcBorders>
              <w:top w:val="single" w:color="D4A017" w:sz="8"/>
              <w:left w:val="single" w:color="D4A017" w:sz="8"/>
              <w:bottom w:val="single" w:color="D4A017" w:sz="8"/>
              <w:right w:val="single" w:color="D4A017" w:sz="8"/>
            </w:tcBorders>
            <w:shd w:fill="FEF6E4" w:val="clear"/>
            <w:tcMar>
              <w:top w:type="dxa" w:w="120"/>
              <w:left w:type="dxa" w:w="200"/>
              <w:bottom w:type="dxa" w:w="120"/>
              <w:right w:type="dxa" w:w="200"/>
            </w:tcMar>
          </w:tcPr>
          <w:p>
            <w:pPr>
              <w:spacing w:after="80"/>
            </w:pPr>
            <w:r>
              <w:rPr>
                <w:rFonts w:ascii="Arial" w:cs="Arial" w:eastAsia="Arial" w:hAnsi="Arial"/>
                <w:b/>
                <w:bCs/>
                <w:color w:val="D4A017"/>
                <w:sz w:val="22"/>
                <w:szCs w:val="22"/>
              </w:rPr>
              <w:t xml:space="preserve">⚠️ SPECIAL CATEGORY DATA — GDPR ARTICLE 9</w:t>
            </w:r>
          </w:p>
          <w:p>
            <w:pPr>
              <w:spacing w:after="40" w:before="40"/>
            </w:pPr>
            <w:r>
              <w:rPr>
                <w:rFonts w:ascii="Arial" w:cs="Arial" w:eastAsia="Arial" w:hAnsi="Arial"/>
                <w:color w:val="1A1A2E"/>
                <w:sz w:val="20"/>
                <w:szCs w:val="20"/>
              </w:rPr>
              <w:t xml:space="preserve">Step count qualifies as health data under GDPR Article 9 and European Data Protection Board guidance,</w:t>
            </w:r>
          </w:p>
          <w:p>
            <w:pPr>
              <w:spacing w:after="40" w:before="40"/>
            </w:pPr>
            <w:r>
              <w:rPr>
                <w:rFonts w:ascii="Arial" w:cs="Arial" w:eastAsia="Arial" w:hAnsi="Arial"/>
                <w:color w:val="1A1A2E"/>
                <w:sz w:val="20"/>
                <w:szCs w:val="20"/>
              </w:rPr>
              <w:t xml:space="preserve">as it can indirectly reveal information about a person's physical condition and health status.</w:t>
            </w:r>
          </w:p>
          <w:p>
            <w:pPr>
              <w:spacing w:after="40" w:before="40"/>
            </w:pPr>
            <w:r>
              <w:rPr>
                <w:rFonts w:ascii="Arial" w:cs="Arial" w:eastAsia="Arial" w:hAnsi="Arial"/>
                <w:color w:val="1A1A2E"/>
                <w:sz w:val="20"/>
                <w:szCs w:val="20"/>
              </w:rPr>
              <w:t xml:space="preserve">Processing is only lawful with explicit consent — implied or general consent is NOT sufficient.</w:t>
            </w:r>
          </w:p>
        </w:tc>
      </w:tr>
    </w:tbl>
    <w:p>
      <w:pPr>
        <w:spacing w:after="60" w:before="0"/>
      </w:pPr>
      <w:r>
        <w:t xml:space="preserve"/>
      </w:r>
    </w:p>
    <w:p>
      <w:pPr>
        <w:spacing w:after="80" w:before="60"/>
        <w:jc w:val="both"/>
      </w:pPr>
      <w:r>
        <w:rPr>
          <w:rFonts w:ascii="Arial" w:cs="Arial" w:eastAsia="Arial" w:hAnsi="Arial"/>
          <w:color w:val="1A1A2E"/>
          <w:sz w:val="22"/>
          <w:szCs w:val="22"/>
        </w:rPr>
        <w:t xml:space="preserve">The Cashletics application can access step count data from the following sources — exclusively based on the user's decision:</w:t>
      </w:r>
    </w:p>
    <w:p>
      <w:pPr>
        <w:pStyle w:val="ListParagraph"/>
        <w:numPr>
          <w:ilvl w:val="0"/>
          <w:numId w:val="2"/>
        </w:numPr>
        <w:spacing w:after="40" w:before="40"/>
      </w:pPr>
      <w:r>
        <w:rPr>
          <w:rFonts w:ascii="Arial" w:cs="Arial" w:eastAsia="Arial" w:hAnsi="Arial"/>
          <w:color w:val="1A1A2E"/>
          <w:sz w:val="22"/>
          <w:szCs w:val="22"/>
        </w:rPr>
        <w:t xml:space="preserve">Android: Health Connect API (primary source) or device sensor (fallback)</w:t>
      </w:r>
    </w:p>
    <w:p>
      <w:pPr>
        <w:pStyle w:val="ListParagraph"/>
        <w:numPr>
          <w:ilvl w:val="0"/>
          <w:numId w:val="2"/>
        </w:numPr>
        <w:spacing w:after="40" w:before="40"/>
      </w:pPr>
      <w:r>
        <w:rPr/>
        <w:t>iOS: HealthKit API — currently inactive; to be updated before the iOS launch</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2. What Data We Collect and Why</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800"/>
        <w:gridCol w:w="2638"/>
        <w:gridCol w:w="2800"/>
        <w:gridCol w:w="2400"/>
      </w:tblGrid>
      <w:tr>
        <w:trPr>
          <w:tblHeader/>
        </w:trPr>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w:t>
            </w:r>
          </w:p>
        </w:tc>
        <w:tc>
          <w:tcPr>
            <w:tcW w:type="dxa" w:w="2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Exactly what</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Purpose</w:t>
            </w:r>
          </w:p>
        </w:tc>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What we do NOT collect</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Step count</w:t>
            </w:r>
          </w:p>
        </w:tc>
        <w:tc>
          <w:tcPr>
            <w:tcW w:type="dxa" w:w="2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Daily aggregate step count (integer)</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Activity tracking, gamified reward calculation</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Raw GPS data, route, location</w:t>
            </w:r>
          </w:p>
        </w:tc>
      </w:tr>
    </w:tbl>
    <w:p>
      <w:pPr>
        <w:spacing w:after="60" w:before="0"/>
      </w:pPr>
      <w:r>
        <w:t xml:space="preserve"/>
      </w:r>
    </w:p>
    <w:p>
      <w:pPr>
        <w:spacing w:after="80" w:before="60"/>
        <w:jc w:val="both"/>
      </w:pPr>
      <w:r>
        <w:rPr>
          <w:rFonts w:ascii="Arial" w:cs="Arial" w:eastAsia="Arial" w:hAnsi="Arial"/>
          <w:color w:val="1A1A2E"/>
          <w:sz w:val="22"/>
          <w:szCs w:val="22"/>
        </w:rPr>
        <w:t xml:space="preserve">Data minimisation: the application stores only aggregated daily data — per-minute, per-hour, or raw sensor data is NOT retained.</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3. Legal Basis for Processing</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basis</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GDPR Art. 9(2)(a)</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Explanation</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Explicit consent of the data subject to processing their special category data</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Requirements</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Explicit (not implied), informed, freely given, unambiguous</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When obtained</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When the step count feature is enabled — feature-bound permission request (HJ-001-EN Section 5)</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Form</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Separate notice dialog; consent is given by tapping „Continue to permission”, followed by the Android permission request; optional (not mandatory)</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Revocable?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Yes — at any time, without retroactive effect (GDPR Art. 7(3))</w:t>
            </w:r>
          </w:p>
        </w:tc>
      </w:tr>
    </w:tbl>
    <w:p>
      <w:pPr>
        <w:spacing w:after="60" w:before="0"/>
      </w:pPr>
      <w:r>
        <w:t xml:space="preserve"/>
      </w:r>
    </w:p>
    <w:p>
      <w:pPr>
        <w:shd w:fill="1B6B4A" w:val="clear"/>
        <w:spacing w:after="120" w:before="240"/>
        <w:ind w:left="120" w:right="120"/>
      </w:pPr>
      <w:r>
        <w:rPr>
          <w:rFonts w:ascii="Arial" w:cs="Arial" w:eastAsia="Arial" w:hAnsi="Arial"/>
          <w:b/>
          <w:bCs/>
          <w:color w:val="FFFFFF"/>
          <w:sz w:val="24"/>
          <w:szCs w:val="24"/>
        </w:rPr>
        <w:t xml:space="preserve">4. In-App Consent Text</w:t>
      </w:r>
    </w:p>
    <w:p>
      <w:pPr>
        <w:spacing w:after="80"/>
      </w:pPr>
      <w:r>
        <w:t xml:space="preserve"/>
      </w:r>
    </w:p>
    <w:p>
      <w:pPr>
        <w:spacing w:after="100"/>
        <w:jc w:val="both"/>
      </w:pPr>
      <w:r>
        <w:rPr>
          <w:rFonts w:ascii="Arial" w:cs="Arial" w:eastAsia="Arial" w:hAnsi="Arial"/>
          <w:color w:val="1A1A2E"/>
          <w:sz w:val="22"/>
          <w:szCs w:val="22"/>
        </w:rPr>
        <w:t xml:space="preserve">The text below is shown when the user switches on the step-count feature, before the Android permission is requested (HJ-001-EN Section 5). Texts in quotation marks are the app's verbatim interface texts (version 1.0.46+47); the app displays the document version from the active legal configuration.</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 SCREEN: „Step-count access” ]</w:t>
            </w:r>
          </w:p>
          <w:p>
            <w:pPr>
              <w:spacing w:after="60"/>
              <w:ind w:left="120" w:right="120"/>
            </w:pPr>
            <w:r>
              <w:rPr>
                <w:rFonts w:ascii="Arial" w:cs="Arial" w:eastAsia="Arial" w:hAnsi="Arial"/>
                <w:color w:val="1A1A2E"/>
                <w:sz w:val="20"/>
                <w:szCs w:val="20"/>
              </w:rPr>
              <w:t xml:space="preserve">„Cashletics is about to ask Android for Physical activity and Health Connect permission to read your step count.”</w:t>
            </w:r>
          </w:p>
          <w:p>
            <w:pPr>
              <w:spacing w:after="60"/>
              <w:ind w:left="120" w:right="120"/>
            </w:pPr>
            <w:r>
              <w:rPr>
                <w:rFonts w:ascii="Arial" w:cs="Arial" w:eastAsia="Arial" w:hAnsi="Arial"/>
                <w:color w:val="1A1A2E"/>
                <w:sz w:val="20"/>
                <w:szCs w:val="20"/>
              </w:rPr>
              <w:t xml:space="preserve">[ document version: HE-001, from the active legal configuration ]</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„Why is it used?”</w:t>
            </w:r>
          </w:p>
          <w:p>
            <w:pPr>
              <w:spacing w:after="60"/>
              <w:ind w:left="120" w:right="120"/>
            </w:pPr>
            <w:r>
              <w:rPr>
                <w:rFonts w:ascii="Arial" w:cs="Arial" w:eastAsia="Arial" w:hAnsi="Arial"/>
                <w:color w:val="1A1A2E"/>
                <w:sz w:val="20"/>
                <w:szCs w:val="20"/>
              </w:rPr>
              <w:t xml:space="preserve">„To show daily, weekly and monthly steps and calculate private step goals, challenges and rewards. Step and Health data are not published on a leaderboard; the public leaderboard uses XP only.”</w:t>
            </w:r>
          </w:p>
          <w:p>
            <w:pPr>
              <w:spacing w:after="60"/>
              <w:ind w:left="120" w:right="120"/>
            </w:pPr>
            <w:r>
              <w:rPr>
                <w:rFonts w:ascii="Arial" w:cs="Arial" w:eastAsia="Arial" w:hAnsi="Arial"/>
                <w:color w:val="1A1A2E"/>
                <w:sz w:val="20"/>
                <w:szCs w:val="20"/>
              </w:rPr>
              <w:t xml:space="preserve">„What data is accessed?”</w:t>
            </w:r>
          </w:p>
          <w:p>
            <w:pPr>
              <w:spacing w:after="60"/>
              <w:ind w:left="120" w:right="120"/>
            </w:pPr>
            <w:r>
              <w:rPr>
                <w:rFonts w:ascii="Arial" w:cs="Arial" w:eastAsia="Arial" w:hAnsi="Arial"/>
                <w:color w:val="1A1A2E"/>
                <w:sz w:val="20"/>
                <w:szCs w:val="20"/>
              </w:rPr>
              <w:t xml:space="preserve">„We request read-only access to STEPS. Daily and period details are retained for 90 days; the private cumulative step count used for badges remains until consent is withdrawn or the account is deleted. We do not write Health Connect data or request any other health record.”</w:t>
            </w:r>
          </w:p>
          <w:p>
            <w:pPr>
              <w:spacing w:after="60"/>
              <w:ind w:left="120" w:right="120"/>
            </w:pPr>
            <w:r>
              <w:rPr>
                <w:rFonts w:ascii="Arial" w:cs="Arial" w:eastAsia="Arial" w:hAnsi="Arial"/>
                <w:color w:val="1A1A2E"/>
                <w:sz w:val="20"/>
                <w:szCs w:val="20"/>
              </w:rPr>
              <w:t xml:space="preserve">„You are in control”</w:t>
            </w:r>
          </w:p>
          <w:p>
            <w:pPr>
              <w:spacing w:after="60"/>
              <w:ind w:left="120" w:right="120"/>
            </w:pPr>
            <w:r>
              <w:rPr>
                <w:rFonts w:ascii="Arial" w:cs="Arial" w:eastAsia="Arial" w:hAnsi="Arial"/>
                <w:color w:val="1A1A2E"/>
                <w:sz w:val="20"/>
                <w:szCs w:val="20"/>
              </w:rPr>
              <w:t xml:space="preserve">„This permission is optional. If you decline, no system permission opens; finance features and PiggyRun remain available, but step sync and related rewards cannot update. You can revoke access later.”</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 „Open Health notice” ]   [ „Not now” ]   [ „Continue to permission” ]</w:t>
            </w:r>
          </w:p>
        </w:tc>
      </w:tr>
    </w:tbl>
    <w:p>
      <w:pPr>
        <w:spacing w:after="80"/>
      </w:pPr>
      <w:r>
        <w:t xml:space="preserve"/>
      </w:r>
    </w:p>
    <w:p>
      <w:pPr>
        <w:pStyle w:val="ListParagraph"/>
        <w:numPr>
          <w:ilvl w:val="0"/>
          <w:numId w:val="2"/>
        </w:numPr>
        <w:spacing w:after="80"/>
      </w:pPr>
      <w:r>
        <w:rPr>
          <w:rFonts w:ascii="Arial" w:cs="Arial" w:eastAsia="Arial" w:hAnsi="Arial"/>
          <w:color w:val="1A1A2E"/>
          <w:sz w:val="22"/>
          <w:szCs w:val="22"/>
        </w:rPr>
        <w:t xml:space="preserve">The „Continue to permission” button is the explicit consent: if there is no current consent, the server records it at this point (health_accept event; healthConsent, healthPolicyVersion), and only then is the Android permission request opened.</w:t>
      </w:r>
    </w:p>
    <w:p>
      <w:pPr>
        <w:pStyle w:val="ListParagraph"/>
        <w:numPr>
          <w:ilvl w:val="0"/>
          <w:numId w:val="2"/>
        </w:numPr>
        <w:spacing w:after="80"/>
      </w:pPr>
      <w:r>
        <w:rPr>
          <w:rFonts w:ascii="Arial" w:cs="Arial" w:eastAsia="Arial" w:hAnsi="Arial"/>
          <w:color w:val="1A1A2E"/>
          <w:sz w:val="22"/>
          <w:szCs w:val="22"/>
        </w:rPr>
        <w:t xml:space="preserve">The „Not now” button declines: no system permission request is opened and the rest of the app remains usable.</w:t>
      </w:r>
    </w:p>
    <w:p>
      <w:pPr>
        <w:pStyle w:val="ListParagraph"/>
        <w:numPr>
          <w:ilvl w:val="0"/>
          <w:numId w:val="2"/>
        </w:numPr>
        <w:spacing w:after="80"/>
      </w:pPr>
      <w:r>
        <w:rPr>
          <w:rFonts w:ascii="Arial" w:cs="Arial" w:eastAsia="Arial" w:hAnsi="Arial"/>
          <w:color w:val="1A1A2E"/>
          <w:sz w:val="22"/>
          <w:szCs w:val="22"/>
        </w:rPr>
        <w:t xml:space="preserve">The in-app consent and the Android permission are separate states: the system permission can still be refused or revoked after the consent.</w:t>
      </w:r>
    </w:p>
    <w:p>
      <w:pPr>
        <w:pStyle w:val="ListParagraph"/>
        <w:numPr>
          <w:ilvl w:val="0"/>
          <w:numId w:val="2"/>
        </w:numPr>
        <w:spacing w:after="80"/>
      </w:pPr>
      <w:r>
        <w:rPr>
          <w:rFonts w:ascii="Arial" w:cs="Arial" w:eastAsia="Arial" w:hAnsi="Arial"/>
          <w:color w:val="1A1A2E"/>
          <w:sz w:val="22"/>
          <w:szCs w:val="22"/>
        </w:rPr>
        <w:t xml:space="preserve">The „Open Health notice” button opens the detailed notice on health data.</w:t>
      </w:r>
    </w:p>
    <w:p>
      <w:pPr>
        <w:spacing w:after="80"/>
      </w:pPr>
      <w:r>
        <w:t xml:space="preserve"/>
      </w:r>
    </w:p>
    <w:p>
      <w:pPr>
        <w:shd w:fill="1B6B4A" w:val="clear"/>
        <w:spacing w:after="120" w:before="280"/>
        <w:ind w:left="120" w:right="120"/>
      </w:pPr>
      <w:r>
        <w:rPr>
          <w:rFonts w:ascii="Arial" w:cs="Arial" w:eastAsia="Arial" w:hAnsi="Arial"/>
          <w:b/>
          <w:bCs/>
          <w:color w:val="FFFFFF"/>
          <w:sz w:val="24"/>
          <w:szCs w:val="24"/>
        </w:rPr>
        <w:t xml:space="preserve">5. Data Flow and Storage</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200"/>
        <w:gridCol w:w="4238"/>
        <w:gridCol w:w="4200"/>
      </w:tblGrid>
      <w:tr>
        <w:trPr>
          <w:tblHeader/>
        </w:trPr>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Step</w:t>
            </w:r>
          </w:p>
        </w:tc>
        <w:tc>
          <w:tcPr>
            <w:tcW w:type="dxa" w:w="4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Description</w:t>
            </w:r>
          </w:p>
        </w:tc>
        <w:tc>
          <w:tcPr>
            <w:tcW w:type="dxa" w:w="4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Where it happens</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Source</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Connect API or device sensor</w:t>
            </w:r>
          </w:p>
        </w:tc>
        <w:tc>
          <w:tcPr>
            <w:tcW w:type="dxa" w:w="4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On the user's device</w:t>
            </w:r>
          </w:p>
        </w:tc>
      </w:tr>
      <w:tr>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2. Aggregation</w:t>
            </w:r>
          </w:p>
        </w:tc>
        <w:tc>
          <w:tcPr>
            <w:tcW w:type="dxa" w:w="4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Daily total calculated (raw data discarded)</w:t>
            </w:r>
          </w:p>
        </w:tc>
        <w:tc>
          <w:tcPr>
            <w:tcW w:type="dxa" w:w="4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On the user's device</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3. Storage</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Aggregated daily data uploaded</w:t>
            </w:r>
          </w:p>
        </w:tc>
        <w:tc>
          <w:tcPr>
            <w:tcW w:type="dxa" w:w="4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Cloud Firestore (Google LLC, EU-US DPF)</w:t>
            </w:r>
          </w:p>
        </w:tc>
      </w:tr>
      <w:tr>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4. Use</w:t>
            </w:r>
          </w:p>
        </w:tc>
        <w:tc>
          <w:tcPr>
            <w:tcW w:type="dxa" w:w="4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Activity display, reward calculation, statistics</w:t>
            </w:r>
          </w:p>
        </w:tc>
        <w:tc>
          <w:tcPr>
            <w:tcW w:type="dxa" w:w="4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Within the application</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5. Deletion</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Upon consent withdrawal or account deletion</w:t>
            </w:r>
          </w:p>
        </w:tc>
        <w:tc>
          <w:tcPr>
            <w:tcW w:type="dxa" w:w="4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Permanently from Firestore</w:t>
            </w:r>
          </w:p>
        </w:tc>
      </w:tr>
    </w:tbl>
    <w:p>
      <w:pPr>
        <w:spacing w:after="60" w:before="0"/>
      </w:pPr>
      <w:r>
        <w:t xml:space="preserve"/>
      </w:r>
    </w:p>
    <w:p>
      <w:pPr>
        <w:spacing w:after="80" w:before="60"/>
        <w:jc w:val="both"/>
      </w:pPr>
      <w:r>
        <w:rPr>
          <w:rFonts w:ascii="Arial" w:cs="Arial" w:eastAsia="Arial" w:hAnsi="Arial"/>
          <w:color w:val="1A1A2E"/>
          <w:sz w:val="22"/>
          <w:szCs w:val="22"/>
        </w:rPr>
        <w:t xml:space="preserve">Retention period: until withdrawal of consent, with deletion within 30 days thereafter; in any case no longer than 90 days from the last synchronisation. Upon account deletion, all health data is immediately and permanently erased.</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6. Prohibited Uses</w:t>
      </w:r>
    </w:p>
    <w:p>
      <w:pPr>
        <w:spacing w:after="60" w:before="0"/>
      </w:pPr>
      <w:r>
        <w:t xml:space="preserve"/>
      </w:r>
    </w:p>
    <w:p>
      <w:pPr>
        <w:spacing w:after="80" w:before="60"/>
        <w:jc w:val="both"/>
      </w:pPr>
      <w:r>
        <w:rPr>
          <w:rFonts w:ascii="Arial" w:cs="Arial" w:eastAsia="Arial" w:hAnsi="Arial"/>
          <w:color w:val="1A1A2E"/>
          <w:sz w:val="22"/>
          <w:szCs w:val="22"/>
        </w:rPr>
        <w:t xml:space="preserve">Under the Google Play Health Permissions Policy and GDPR Article 9, health data (step count) may only be used for permitted purposes. The following are expressly prohibited:</w:t>
      </w:r>
    </w:p>
    <w:p>
      <w:pPr>
        <w:pStyle w:val="ListParagraph"/>
        <w:numPr>
          <w:ilvl w:val="0"/>
          <w:numId w:val="2"/>
        </w:numPr>
        <w:spacing w:after="40" w:before="40"/>
      </w:pPr>
      <w:r>
        <w:rPr>
          <w:rFonts w:ascii="Arial" w:cs="Arial" w:eastAsia="Arial" w:hAnsi="Arial"/>
          <w:color w:val="1A1A2E"/>
          <w:sz w:val="22"/>
          <w:szCs w:val="22"/>
        </w:rPr>
        <w:t xml:space="preserve">Advertising purposes — data is NOT shared with AdMob or any other advertiser</w:t>
      </w:r>
    </w:p>
    <w:p>
      <w:pPr>
        <w:pStyle w:val="ListParagraph"/>
        <w:numPr>
          <w:ilvl w:val="0"/>
          <w:numId w:val="2"/>
        </w:numPr>
        <w:spacing w:after="40" w:before="40"/>
      </w:pPr>
      <w:r>
        <w:rPr>
          <w:rFonts w:ascii="Arial" w:cs="Arial" w:eastAsia="Arial" w:hAnsi="Arial"/>
          <w:color w:val="1A1A2E"/>
          <w:sz w:val="22"/>
          <w:szCs w:val="22"/>
        </w:rPr>
        <w:t xml:space="preserve">Transfer to third parties without notification</w:t>
      </w:r>
    </w:p>
    <w:p>
      <w:pPr>
        <w:pStyle w:val="ListParagraph"/>
        <w:numPr>
          <w:ilvl w:val="0"/>
          <w:numId w:val="2"/>
        </w:numPr>
        <w:spacing w:after="40" w:before="40"/>
      </w:pPr>
      <w:r>
        <w:rPr>
          <w:rFonts w:ascii="Arial" w:cs="Arial" w:eastAsia="Arial" w:hAnsi="Arial"/>
          <w:color w:val="1A1A2E"/>
          <w:sz w:val="22"/>
          <w:szCs w:val="22"/>
        </w:rPr>
        <w:t xml:space="preserve">Use for credit, insurance, or employment decisions</w:t>
      </w:r>
    </w:p>
    <w:p>
      <w:pPr>
        <w:pStyle w:val="ListParagraph"/>
        <w:numPr>
          <w:ilvl w:val="0"/>
          <w:numId w:val="2"/>
        </w:numPr>
        <w:spacing w:after="40" w:before="40"/>
      </w:pPr>
      <w:r>
        <w:rPr>
          <w:rFonts w:ascii="Arial" w:cs="Arial" w:eastAsia="Arial" w:hAnsi="Arial"/>
          <w:color w:val="1A1A2E"/>
          <w:sz w:val="22"/>
          <w:szCs w:val="22"/>
        </w:rPr>
        <w:t xml:space="preserve">Publication on the public leaderboard</w:t>
      </w:r>
    </w:p>
    <w:p>
      <w:pPr>
        <w:pStyle w:val="ListParagraph"/>
        <w:numPr>
          <w:ilvl w:val="0"/>
          <w:numId w:val="2"/>
        </w:numPr>
        <w:spacing w:after="40" w:before="40"/>
      </w:pPr>
      <w:r>
        <w:rPr>
          <w:rFonts w:ascii="Arial" w:cs="Arial" w:eastAsia="Arial" w:hAnsi="Arial"/>
          <w:color w:val="1A1A2E"/>
          <w:sz w:val="22"/>
          <w:szCs w:val="22"/>
        </w:rPr>
        <w:t xml:space="preserve">Storage of raw sensor data</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7. Android — Health Connect Details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400"/>
        <w:gridCol w:w="6238"/>
      </w:tblGrid>
      <w:tr>
        <w:trPr>
          <w:tblHeader/>
        </w:trPr>
        <w:tc>
          <w:tcPr>
            <w:tcW w:type="dxa" w:w="3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Parameter</w:t>
            </w:r>
          </w:p>
        </w:tc>
        <w:tc>
          <w:tcPr>
            <w:tcW w:type="dxa" w:w="6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Value</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API</w:t>
            </w:r>
          </w:p>
        </w:tc>
        <w:tc>
          <w:tcPr>
            <w:tcW w:type="dxa" w:w="6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Android Health Connect (androidx.health.connect)</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Permissions requested</w:t>
            </w:r>
          </w:p>
        </w:tc>
        <w:tc>
          <w:tcPr>
            <w:tcW w:type="dxa" w:w="6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
              <w:rPr/>
              <w:t>READ_STEPS; READ_HEALTH_DATA_HISTORY; ACTIVITY_RECOGNITION. READ_HEALTH_DATA_HISTORY is used for weekly/monthly/yearly aggregated step totals; ACTIVITY_RECOGNITION supports Android activity/step-count permission handling. The app still does not process GPS, routes, heart rate, workout type or other health data.</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Permission request method</w:t>
            </w:r>
          </w:p>
        </w:tc>
        <w:tc>
          <w:tcPr>
            <w:tcW w:type="dxa" w:w="6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Connect system dialog — user grants via Android system UI</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Withdrawal method (1)</w:t>
            </w:r>
          </w:p>
        </w:tc>
        <w:tc>
          <w:tcPr>
            <w:tcW w:type="dxa" w:w="6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Cashletics &gt; Settings &gt; Health Data &gt; Disable</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Withdrawal method (2)</w:t>
            </w:r>
          </w:p>
        </w:tc>
        <w:tc>
          <w:tcPr>
            <w:tcW w:type="dxa" w:w="6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Android Settings &gt; Health Connect &gt; Cashletics &gt; Remove permissions</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Play Console declaration</w:t>
            </w:r>
          </w:p>
        </w:tc>
        <w:tc>
          <w:tcPr>
            <w:tcW w:type="dxa" w:w="6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Health Connect API usage declaration required — GPS-001</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Play Data Safety type</w:t>
            </w:r>
          </w:p>
        </w:tc>
        <w:tc>
          <w:tcPr>
            <w:tcW w:type="dxa" w:w="6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info" and "Fitness info" — optional, user-shared</w:t>
            </w:r>
          </w:p>
        </w:tc>
      </w:tr>
    </w:tbl>
    <w:p>
      <w:pPr>
        <w:spacing w:after="60" w:before="0"/>
      </w:pPr>
      <w:r>
        <w:t xml:space="preserve"/>
      </w:r>
    </w:p>
    <w:p>
      <w:pPr>
        <w:shd w:fill="1B6B4A" w:val="clear"/>
        <w:spacing w:after="120" w:before="280"/>
        <w:ind w:left="120" w:right="120"/>
      </w:pPr>
      <w:r>
        <w:rPr/>
        <w:t>8. iOS — HealthKit Details (currently inactive)</w:t>
      </w:r>
    </w:p>
    <w:p>
      <w:pPr>
        <w:spacing w:after="60" w:before="0"/>
      </w:pPr>
      <w:r>
        <w:t xml:space="preserve"/>
      </w:r>
    </w:p>
    <w:tbl>
      <w:tblPr>
        <w:tblW w:type="dxa" w:w="9638"/>
        <w:tblBorders>
          <w:top w:val="single" w:color="D4A017" w:sz="8"/>
          <w:left w:val="single" w:color="D4A017" w:sz="8"/>
          <w:bottom w:val="single" w:color="D4A017" w:sz="8"/>
          <w:right w:val="single" w:color="D4A017" w:sz="8"/>
          <w:insideH w:val="single" w:color="auto" w:sz="4"/>
          <w:insideV w:val="single" w:color="auto" w:sz="4"/>
        </w:tblBorders>
      </w:tblPr>
      <w:tblGrid>
        <w:gridCol w:w="9638"/>
      </w:tblGrid>
      <w:tr>
        <w:tc>
          <w:tcPr>
            <w:tcW w:type="dxa" w:w="9638"/>
            <w:tcBorders>
              <w:top w:val="single" w:color="D4A017" w:sz="8"/>
              <w:left w:val="single" w:color="D4A017" w:sz="8"/>
              <w:bottom w:val="single" w:color="D4A017" w:sz="8"/>
              <w:right w:val="single" w:color="D4A017" w:sz="8"/>
            </w:tcBorders>
            <w:shd w:fill="FEF6E4" w:val="clear"/>
            <w:tcMar>
              <w:top w:type="dxa" w:w="120"/>
              <w:left w:type="dxa" w:w="200"/>
              <w:bottom w:type="dxa" w:w="120"/>
              <w:right w:type="dxa" w:w="200"/>
            </w:tcMar>
          </w:tcPr>
          <w:p>
            <w:pPr>
              <w:spacing w:after="80"/>
            </w:pPr>
            <w:r>
              <w:rPr/>
              <w:t>iOS / HealthKit currently inactive; to be updated before iOS launch</w:t>
            </w:r>
          </w:p>
          <w:p>
            <w:pPr>
              <w:spacing w:after="40" w:before="40"/>
            </w:pPr>
            <w:r>
              <w:rPr>
                <w:rFonts w:ascii="Arial" w:cs="Arial" w:eastAsia="Arial" w:hAnsi="Arial"/>
                <w:color w:val="1A1A2E"/>
                <w:sz w:val="20"/>
                <w:szCs w:val="20"/>
              </w:rPr>
              <w:t xml:space="preserve">HealthKit integration details to be added before App Store submission.</w:t>
            </w:r>
          </w:p>
          <w:p>
            <w:pPr>
              <w:spacing w:after="40" w:before="40"/>
            </w:pPr>
            <w:r>
              <w:rPr>
                <w:rFonts w:ascii="Arial" w:cs="Arial" w:eastAsia="Arial" w:hAnsi="Arial"/>
                <w:color w:val="1A1A2E"/>
                <w:sz w:val="20"/>
                <w:szCs w:val="20"/>
              </w:rPr>
              <w:t xml:space="preserve">Structure is identical to the Android section; only API-specific details differ.</w:t>
            </w:r>
          </w:p>
        </w:tc>
      </w:tr>
    </w:tbl>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3419"/>
        <w:gridCol w:w="3419"/>
      </w:tblGrid>
      <w:tr>
        <w:trPr>
          <w:tblHeader/>
        </w:trP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Parameter</w:t>
            </w:r>
          </w:p>
        </w:tc>
        <w:tc>
          <w:tcPr>
            <w:tcW w:type="dxa" w:w="34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Android equivalent</w:t>
            </w:r>
          </w:p>
        </w:tc>
        <w:tc>
          <w:tcPr>
            <w:tcW w:type="dxa" w:w="34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iOS value</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API</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Connect</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iOS / HealthKit currently inactive</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Permissions requested</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
              <w:rPr/>
              <w:t>READ_STEPS; READ_HEALTH_DATA_HISTORY; ACTIVITY_RECOGNITION. READ_HEALTH_DATA_HISTORY is used for weekly/monthly/yearly aggregated step totals; ACTIVITY_RECOGNITION supports Android activity/step-count permission handling. The app still does not process GPS, routes, heart rate, workout type or other health data.</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iOS / HealthKit currently inactive</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Info.plist key</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iOS / HealthKit currently inactive</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Withdrawal method</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Android settings</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iOS / HealthKit currently inactive</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App Store declaration</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Play Console Health declaration</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iOS / HealthKit currently inactive</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9. Your Rights Regarding Health Data</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6838"/>
      </w:tblGrid>
      <w:tr>
        <w:trPr>
          <w:tblHeader/>
        </w:trP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Right</w:t>
            </w:r>
          </w:p>
        </w:tc>
        <w:tc>
          <w:tcPr>
            <w:tcW w:type="dxa" w:w="68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How to exercise</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Withdrawal (GDPR Art. 7(3))</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App &gt; Settings &gt; Health Data &gt; Disable — takes effect immediately</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Erasure (GDPR Art. 17)</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 — executed within 30 days</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Access (GDPR Art. 15)</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privacy@cashleticsapp.com — response within 30 days</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Restriction (GDPR Art. 18)</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Portability (GDPR Art. 20)</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privacy@cashleticsapp.com — JSON format</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Complaint (GDPR Art. 77)</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NAIH: www.naih.hu | ugyfelszolgalat@naih.hu</w:t>
            </w:r>
          </w:p>
        </w:tc>
      </w:tr>
    </w:tbl>
    <w:p>
      <w:pPr>
        <w:spacing w:after="60" w:before="0"/>
      </w:pPr>
      <w:r>
        <w:t xml:space="preserve"/>
      </w:r>
    </w:p>
    <w:p>
      <w:pPr>
        <w:spacing w:after="80" w:before="60"/>
        <w:jc w:val="both"/>
      </w:pPr>
      <w:r>
        <w:rPr>
          <w:rFonts w:ascii="Arial" w:cs="Arial" w:eastAsia="Arial" w:hAnsi="Arial"/>
          <w:color w:val="1A1A2E"/>
          <w:sz w:val="22"/>
          <w:szCs w:val="22"/>
        </w:rPr>
        <w:t xml:space="preserve">Withdrawal of consent does not affect the lawfulness of processing carried out before withdrawal. After withdrawal, the step count feature stops, and already stored aggregated data is deleted within 30 days.</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10. Cross-Reference — Synchronised Documents</w:t>
      </w:r>
    </w:p>
    <w:p>
      <w:pPr>
        <w:spacing w:after="60" w:before="0"/>
      </w:pPr>
      <w:r>
        <w:t xml:space="preserve"/>
      </w:r>
    </w:p>
    <w:p>
      <w:pPr>
        <w:spacing w:after="80" w:before="60"/>
        <w:jc w:val="both"/>
      </w:pPr>
      <w:r>
        <w:rPr>
          <w:rFonts w:ascii="Arial" w:cs="Arial" w:eastAsia="Arial" w:hAnsi="Arial"/>
          <w:color w:val="1A1A2E"/>
          <w:sz w:val="22"/>
          <w:szCs w:val="22"/>
        </w:rPr>
        <w:t xml:space="preserve">Health data processing appears in the following documents — all must be consistent with each other:</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000"/>
        <w:gridCol w:w="2638"/>
        <w:gridCol w:w="5000"/>
      </w:tblGrid>
      <w:tr>
        <w:trPr>
          <w:tblHeader/>
        </w:trPr>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Document</w:t>
            </w:r>
          </w:p>
        </w:tc>
        <w:tc>
          <w:tcPr>
            <w:tcW w:type="dxa" w:w="2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Relevant section / row</w:t>
            </w:r>
          </w:p>
        </w:tc>
        <w:tc>
          <w:tcPr>
            <w:tcW w:type="dxa" w:w="5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Synchronised element</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AT-001-EN</w:t>
            </w:r>
          </w:p>
        </w:tc>
        <w:tc>
          <w:tcPr>
            <w:tcW w:type="dxa" w:w="2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6</w:t>
            </w:r>
          </w:p>
        </w:tc>
        <w:tc>
          <w:tcPr>
            <w:tcW w:type="dxa" w:w="5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data standalone section, retention, legal basis</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AT-001 (HU)</w:t>
            </w:r>
          </w:p>
        </w:tc>
        <w:tc>
          <w:tcPr>
            <w:tcW w:type="dxa" w:w="2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Section 6</w:t>
            </w:r>
          </w:p>
        </w:tc>
        <w:tc>
          <w:tcPr>
            <w:tcW w:type="dxa" w:w="5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Same content in Hungarian</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ROPA-001</w:t>
            </w:r>
          </w:p>
        </w:tc>
        <w:tc>
          <w:tcPr>
            <w:tcW w:type="dxa" w:w="2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data row</w:t>
            </w:r>
          </w:p>
        </w:tc>
        <w:tc>
          <w:tcPr>
            <w:tcW w:type="dxa" w:w="5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Art. 9 flag, 90-day retention</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DPIA-001</w:t>
            </w:r>
          </w:p>
        </w:tc>
        <w:tc>
          <w:tcPr>
            <w:tcW w:type="dxa" w:w="2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Risk assessment</w:t>
            </w:r>
          </w:p>
        </w:tc>
        <w:tc>
          <w:tcPr>
            <w:tcW w:type="dxa" w:w="5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Special category data risk analysis</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HJ-001-EN</w:t>
            </w:r>
          </w:p>
        </w:tc>
        <w:tc>
          <w:tcPr>
            <w:tcW w:type="dxa" w:w="2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5 — step-count permission</w:t>
            </w:r>
          </w:p>
        </w:tc>
        <w:tc>
          <w:tcPr>
            <w:tcW w:type="dxa" w:w="5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In-app text and UI flow</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GPS-001</w:t>
            </w:r>
          </w:p>
        </w:tc>
        <w:tc>
          <w:tcPr>
            <w:tcW w:type="dxa" w:w="2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Health info declaration</w:t>
            </w:r>
          </w:p>
        </w:tc>
        <w:tc>
          <w:tcPr>
            <w:tcW w:type="dxa" w:w="5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Play Console Data Safety form</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HE-001 (HU)</w:t>
            </w:r>
          </w:p>
        </w:tc>
        <w:tc>
          <w:tcPr>
            <w:tcW w:type="dxa" w:w="2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Full document</w:t>
            </w:r>
          </w:p>
        </w:tc>
        <w:tc>
          <w:tcPr>
            <w:tcW w:type="dxa" w:w="5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Hungarian source version</w:t>
            </w:r>
          </w:p>
        </w:tc>
      </w:tr>
    </w:tbl>
    <w:p>
      <w:pPr>
        <w:spacing w:after="60" w:before="0"/>
      </w:pPr>
      <w:r>
        <w:t xml:space="preserve"/>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Health Data Statement (HE-001).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https://cashleticsapp.com/legal.php?slug=egeszsegugyi-adat&amp;lang=hu</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Version History</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200"/>
        <w:gridCol w:w="1800"/>
        <w:gridCol w:w="4638"/>
        <w:gridCol w:w="2000"/>
      </w:tblGrid>
      <w:tr>
        <w:trPr>
          <w:tblHeader/>
        </w:trPr>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4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Change</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Approved by</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v1.5</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Initial release — final</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v1.7</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v1.8</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[külön nem került jóváhagyásra — a v1.10.1 váltotta fel]</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6 August 2026 · suppl. 4 September 2026 and 5 September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retention period clarified with deletion within 30 days after withdrawal;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t xml:space="preserve">v1.10.2</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3 October 2026 · suppl. 8 October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References aligned with HJ-001-EN v1.10.2 (based on the controller's technical deviation list of 2 October 2026): the step-count permission is a feature-bound permission requested when the feature is switched on (HJ-001-EN Section 5); the developer implementation marker removed from Section 4 and from the consent statement. No change in substance. The effective date remains 12 October 2026. Supplement of 8 October 2026, before publication (based on the controller's technical answers of 3 October 2026): Section 4 contains the app's actual, verbatim notice text; consent is given with the „Continue to permission” button of the notice dialog, there is no separate checkbox.</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bl>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400"/>
        <w:gridCol w:w="2800"/>
        <w:gridCol w:w="2200"/>
        <w:gridCol w:w="2238"/>
      </w:tblGrid>
      <w:tr>
        <w:trPr>
          <w:tblHeader/>
        </w:trP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Role</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Name</w:t>
            </w:r>
          </w:p>
        </w:tc>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Signature</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Prepared by</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Received / approved by</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r>
    </w:tbl>
    <w:p>
      <w:pPr>
        <w:spacing w:after="60" w:before="0"/>
      </w:pPr>
      <w:r>
        <w:t xml:space="preserve"/>
      </w:r>
    </w:p>
    <w:p>
      <w:pPr>
        <w:spacing w:after="80" w:before="60"/>
        <w:jc w:val="both"/>
      </w:pPr>
      <w:r>
        <w:rPr/>
        <w:t>Next review: 1 August 2027</w:t>
      </w:r>
    </w:p>
    <w:p>
      <w:r>
        <w:rPr>
          <w:b/>
        </w:rPr>
        <w:t>v1.5a supplement — Android Health permissions:</w:t>
      </w:r>
    </w:p>
    <w:p>
      <w:r>
        <w:rPr/>
        <w:t>The current Android permission set remains unchanged in the source code: READ_STEPS, READ_HEALTH_DATA_HISTORY and ACTIVITY_RECOGNITION. These are used only for reading step count, historical aggregated step totals, and Android activity-recognition support. Cashletics does not request or process location data, GPS routes, heart rate, workout type, or other health data.</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4"/>
      </w:pBdr>
      <w:tabs>
        <w:tab w:val="right" w:pos="9638"/>
      </w:tabs>
      <w:spacing w:before="80"/>
    </w:pPr>
    <w:r>
      <w:t>HE-001-EN | v1.10.2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4"/>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color w:val="666666"/>
        <w:sz w:val="18"/>
        <w:szCs w:val="18"/>
      </w:rPr>
      <w:t xml:space="preserve">		Health Data Statement	HE-001-EN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a643938b6e759f2d65543122dc109b20ed843f.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5ea643938b6e759f2d65543122dc109b20ed843f.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2026-05-17T08:36:02.921Z</dcterms:created>
  <dcterms:modified xsi:type="dcterms:W3CDTF">2026-05-17T08:36:02.921Z</dcterms:modified>
</cp:coreProperties>
</file>

<file path=docProps/custom.xml><?xml version="1.0" encoding="utf-8"?>
<Properties xmlns="http://schemas.openxmlformats.org/officeDocument/2006/custom-properties" xmlns:vt="http://schemas.openxmlformats.org/officeDocument/2006/docPropsVTypes"/>
</file>